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45A8" w:rsidRPr="00FD604D" w:rsidRDefault="001726C0" w:rsidP="00C945A8">
      <w:pPr>
        <w:pStyle w:val="Bezmezer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Příloha č. 6</w:t>
      </w:r>
    </w:p>
    <w:p w:rsidR="00C945A8" w:rsidRPr="00FD604D" w:rsidRDefault="00C945A8" w:rsidP="00C945A8">
      <w:pPr>
        <w:pStyle w:val="Bezmezer"/>
        <w:rPr>
          <w:rFonts w:ascii="Verdana" w:hAnsi="Verdana"/>
          <w:sz w:val="36"/>
          <w:szCs w:val="36"/>
        </w:rPr>
      </w:pPr>
    </w:p>
    <w:p w:rsidR="00C945A8" w:rsidRPr="00FD604D" w:rsidRDefault="00C945A8" w:rsidP="00C945A8">
      <w:pPr>
        <w:pStyle w:val="Bezmezer"/>
        <w:rPr>
          <w:b/>
          <w:sz w:val="36"/>
          <w:szCs w:val="36"/>
        </w:rPr>
      </w:pPr>
      <w:r>
        <w:rPr>
          <w:rFonts w:ascii="Verdana" w:hAnsi="Verdana"/>
          <w:b/>
          <w:sz w:val="36"/>
          <w:szCs w:val="36"/>
        </w:rPr>
        <w:t>Stálé kartografické reprezentace</w:t>
      </w:r>
    </w:p>
    <w:p w:rsidR="00C945A8" w:rsidRPr="00FD604D" w:rsidRDefault="00C945A8" w:rsidP="00C945A8">
      <w:pPr>
        <w:pStyle w:val="Bezmezer"/>
        <w:rPr>
          <w:b/>
          <w:sz w:val="36"/>
          <w:szCs w:val="36"/>
        </w:rPr>
      </w:pPr>
      <w:r w:rsidRPr="00FD604D">
        <w:rPr>
          <w:b/>
          <w:sz w:val="36"/>
          <w:szCs w:val="36"/>
        </w:rPr>
        <w:t xml:space="preserve"> </w:t>
      </w:r>
    </w:p>
    <w:p w:rsidR="00C945A8" w:rsidRDefault="00C945A8" w:rsidP="00C945A8">
      <w:pPr>
        <w:pStyle w:val="Bezmezer"/>
      </w:pPr>
    </w:p>
    <w:p w:rsidR="00C945A8" w:rsidRPr="0041522D" w:rsidRDefault="00C945A8" w:rsidP="00C945A8">
      <w:r w:rsidRPr="0041522D">
        <w:br w:type="page"/>
      </w:r>
    </w:p>
    <w:p w:rsidR="00C945A8" w:rsidRDefault="00C945A8" w:rsidP="000A0442"/>
    <w:p w:rsidR="00C945A8" w:rsidRDefault="00C945A8" w:rsidP="000A0442">
      <w:pPr>
        <w:sectPr w:rsidR="00C945A8" w:rsidSect="005F569A">
          <w:headerReference w:type="default" r:id="rId8"/>
          <w:footerReference w:type="default" r:id="rId9"/>
          <w:pgSz w:w="11907" w:h="16839" w:code="9"/>
          <w:pgMar w:top="1440" w:right="1440" w:bottom="1440" w:left="1440" w:header="720" w:footer="720" w:gutter="0"/>
          <w:cols w:space="720"/>
          <w:docGrid w:linePitch="360"/>
        </w:sectPr>
      </w:pPr>
    </w:p>
    <w:p w:rsidR="00C30E38" w:rsidRDefault="00C945A8" w:rsidP="00C30E38">
      <w:r w:rsidRPr="00FB1A31">
        <w:lastRenderedPageBreak/>
        <w:t>Stálá kartografická</w:t>
      </w:r>
      <w:r w:rsidR="00C30E38" w:rsidRPr="00FB1A31">
        <w:t xml:space="preserve"> </w:t>
      </w:r>
      <w:r w:rsidRPr="00FB1A31">
        <w:t>reprezentace</w:t>
      </w:r>
      <w:r>
        <w:rPr>
          <w:rStyle w:val="Znakapoznpodarou"/>
        </w:rPr>
        <w:footnoteReference w:id="1"/>
      </w:r>
      <w:r w:rsidR="00C30E38">
        <w:t xml:space="preserve"> je taková kartografická reprezentace daného jevu, která je výsledkem náročné generalizace kartografem</w:t>
      </w:r>
      <w:r w:rsidR="00580C75">
        <w:t>,</w:t>
      </w:r>
      <w:r w:rsidR="00C30E38">
        <w:t xml:space="preserve"> a předpokládáme, že tento zobrazovaný jev má dlouhodobý neměnný charakter, v dalších vydáních bude </w:t>
      </w:r>
      <w:r w:rsidR="00B46047">
        <w:t xml:space="preserve">tedy </w:t>
      </w:r>
      <w:r w:rsidR="00C30E38">
        <w:t>jeho zobrazení v</w:t>
      </w:r>
      <w:r w:rsidR="00EA550A" w:rsidRPr="00FB1A31">
        <w:t> </w:t>
      </w:r>
      <w:r w:rsidR="00C30E38">
        <w:t>mapě shodné.</w:t>
      </w:r>
    </w:p>
    <w:p w:rsidR="00C30E38" w:rsidRDefault="00C30E38" w:rsidP="00C30E38">
      <w:r>
        <w:tab/>
        <w:t xml:space="preserve">Jako příklad můžeme použít </w:t>
      </w:r>
      <w:r w:rsidRPr="0022487D">
        <w:t>Poutní kostel Jana Nepomuckého na</w:t>
      </w:r>
      <w:r>
        <w:t xml:space="preserve"> Zelené hoře </w:t>
      </w:r>
      <w:r w:rsidR="00EA550A">
        <w:t>ve</w:t>
      </w:r>
      <w:r>
        <w:t xml:space="preserve"> Žďár</w:t>
      </w:r>
      <w:r w:rsidR="00EA550A">
        <w:t>u</w:t>
      </w:r>
      <w:r>
        <w:t xml:space="preserve"> nad Sázavou, který má charakteristický symetrický tvar a předpokl</w:t>
      </w:r>
      <w:r w:rsidR="00EA550A">
        <w:t>ádáme</w:t>
      </w:r>
      <w:r>
        <w:t>, že se v</w:t>
      </w:r>
      <w:r w:rsidR="00EA550A">
        <w:t> </w:t>
      </w:r>
      <w:r>
        <w:t>dalších vydáních nebude měnit.</w:t>
      </w:r>
    </w:p>
    <w:tbl>
      <w:tblPr>
        <w:tblStyle w:val="Mkatabulky"/>
        <w:tblW w:w="9243" w:type="dxa"/>
        <w:jc w:val="center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43"/>
      </w:tblGrid>
      <w:tr w:rsidR="00EA550A" w:rsidTr="00FB1A31">
        <w:trPr>
          <w:jc w:val="center"/>
        </w:trPr>
        <w:tc>
          <w:tcPr>
            <w:tcW w:w="9243" w:type="dxa"/>
          </w:tcPr>
          <w:p w:rsidR="00EA550A" w:rsidRDefault="00FB1A31" w:rsidP="00EA550A">
            <w:pPr>
              <w:spacing w:after="0"/>
            </w:pPr>
            <w:r>
              <w:t xml:space="preserve">    </w:t>
            </w:r>
            <w:r w:rsidR="00EA550A">
              <w:rPr>
                <w:rFonts w:ascii="Arial" w:hAnsi="Arial" w:cs="Arial"/>
                <w:i/>
                <w:iCs/>
                <w:noProof/>
                <w:sz w:val="25"/>
                <w:szCs w:val="25"/>
                <w:shd w:val="clear" w:color="auto" w:fill="FFFFFF"/>
                <w:lang w:val="en-US" w:eastAsia="en-US"/>
              </w:rPr>
              <w:drawing>
                <wp:inline distT="0" distB="0" distL="0" distR="0">
                  <wp:extent cx="1777745" cy="1371600"/>
                  <wp:effectExtent l="57150" t="19050" r="108205" b="76200"/>
                  <wp:docPr id="3" name="obrázek 2" descr="Zelemá ho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elemá hor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774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A550A">
              <w:rPr>
                <w:rFonts w:ascii="Arial" w:hAnsi="Arial" w:cs="Arial"/>
                <w:i/>
                <w:iCs/>
                <w:noProof/>
                <w:sz w:val="25"/>
                <w:szCs w:val="25"/>
                <w:shd w:val="clear" w:color="auto" w:fill="FFFFFF"/>
                <w:lang w:val="en-US" w:eastAsia="en-US"/>
              </w:rPr>
              <w:drawing>
                <wp:inline distT="0" distB="0" distL="0" distR="0">
                  <wp:extent cx="1587866" cy="1371600"/>
                  <wp:effectExtent l="57150" t="19050" r="107584" b="76200"/>
                  <wp:docPr id="7" name="obrázek 5" descr="Zelená hora - map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Zelená hora - map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866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A550A">
              <w:rPr>
                <w:rFonts w:ascii="Arial" w:hAnsi="Arial" w:cs="Arial"/>
                <w:i/>
                <w:iCs/>
                <w:noProof/>
                <w:sz w:val="25"/>
                <w:szCs w:val="25"/>
                <w:shd w:val="clear" w:color="auto" w:fill="FFFFFF"/>
                <w:lang w:val="en-US" w:eastAsia="en-US"/>
              </w:rPr>
              <w:drawing>
                <wp:inline distT="0" distB="0" distL="0" distR="0">
                  <wp:extent cx="1403724" cy="1371600"/>
                  <wp:effectExtent l="57150" t="19050" r="120276" b="76200"/>
                  <wp:docPr id="19" name="obrázek 8" descr="Zelená hora - mapa 10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Zelená hora - mapa 10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724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7673" w:rsidRPr="00AB2BD7" w:rsidRDefault="00497673" w:rsidP="00497673">
      <w:pPr>
        <w:spacing w:before="0"/>
        <w:jc w:val="center"/>
        <w:rPr>
          <w:sz w:val="16"/>
          <w:szCs w:val="16"/>
        </w:rPr>
      </w:pPr>
      <w:r w:rsidRPr="00AB2BD7">
        <w:rPr>
          <w:sz w:val="16"/>
          <w:szCs w:val="16"/>
        </w:rPr>
        <w:t xml:space="preserve">Obrázek </w:t>
      </w:r>
      <w:r w:rsidR="0028551B" w:rsidRPr="00AB2BD7">
        <w:rPr>
          <w:sz w:val="16"/>
          <w:szCs w:val="16"/>
        </w:rPr>
        <w:fldChar w:fldCharType="begin"/>
      </w:r>
      <w:r w:rsidR="00BC0A9B" w:rsidRPr="00AB2BD7">
        <w:rPr>
          <w:sz w:val="16"/>
          <w:szCs w:val="16"/>
        </w:rPr>
        <w:instrText xml:space="preserve"> SEQ Figure \* ARABIC </w:instrText>
      </w:r>
      <w:r w:rsidR="0028551B" w:rsidRPr="00AB2BD7">
        <w:rPr>
          <w:sz w:val="16"/>
          <w:szCs w:val="16"/>
        </w:rPr>
        <w:fldChar w:fldCharType="separate"/>
      </w:r>
      <w:r w:rsidR="000766FE" w:rsidRPr="00AB2BD7">
        <w:rPr>
          <w:noProof/>
          <w:sz w:val="16"/>
          <w:szCs w:val="16"/>
        </w:rPr>
        <w:t>1</w:t>
      </w:r>
      <w:r w:rsidR="0028551B" w:rsidRPr="00AB2BD7">
        <w:rPr>
          <w:sz w:val="16"/>
          <w:szCs w:val="16"/>
        </w:rPr>
        <w:fldChar w:fldCharType="end"/>
      </w:r>
      <w:r w:rsidRPr="00AB2BD7">
        <w:rPr>
          <w:sz w:val="16"/>
          <w:szCs w:val="16"/>
        </w:rPr>
        <w:t xml:space="preserve"> Příklad komplexu staveb trvalého zobrazení v mapě</w:t>
      </w:r>
    </w:p>
    <w:p w:rsidR="00C30E38" w:rsidRDefault="00935BED" w:rsidP="00935BED">
      <w:r>
        <w:t>Pokud j</w:t>
      </w:r>
      <w:r w:rsidR="005A6C2F">
        <w:t>sou</w:t>
      </w:r>
      <w:r>
        <w:t xml:space="preserve"> digitální kartografická produkční linka a proces obnovy zdrojových databází</w:t>
      </w:r>
      <w:r w:rsidR="005A6C2F">
        <w:t xml:space="preserve"> navrženy správně</w:t>
      </w:r>
      <w:r>
        <w:t xml:space="preserve">, je možné provádět obnovu mapy pouze v </w:t>
      </w:r>
      <w:r w:rsidR="005A6C2F">
        <w:t>reakci na změnu obsahu</w:t>
      </w:r>
      <w:r w:rsidR="00A963EC">
        <w:t>. I </w:t>
      </w:r>
      <w:r>
        <w:t>při poměrně složité prvotní generalizaci při novotvorbě či digitalizaci se tak vyhneme jejímu opakování při dalších vydání mapového produktu.</w:t>
      </w:r>
    </w:p>
    <w:p w:rsidR="00935BED" w:rsidRPr="00935BED" w:rsidRDefault="005A6C2F" w:rsidP="00935BED">
      <w:r>
        <w:t xml:space="preserve">Uvažujme situace zobrazené v následující tabulce, obě jsou z hlediska generalizace poměrně složité, podstatný rozdíl je však ve složitosti výsledné kresby. </w:t>
      </w:r>
    </w:p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320"/>
        <w:gridCol w:w="4320"/>
      </w:tblGrid>
      <w:tr w:rsidR="00935BED" w:rsidTr="007D50D3">
        <w:trPr>
          <w:jc w:val="center"/>
        </w:trPr>
        <w:tc>
          <w:tcPr>
            <w:tcW w:w="4320" w:type="dxa"/>
          </w:tcPr>
          <w:p w:rsidR="00935BED" w:rsidRDefault="00497673" w:rsidP="00EE3895">
            <w:pPr>
              <w:spacing w:before="240" w:after="0"/>
              <w:jc w:val="center"/>
            </w:pPr>
            <w:r w:rsidRPr="00497673">
              <w:rPr>
                <w:sz w:val="16"/>
                <w:szCs w:val="16"/>
              </w:rPr>
              <w:t>Jednoduchá kresba - sádky</w:t>
            </w:r>
            <w:r>
              <w:br/>
            </w:r>
            <w:r w:rsidR="00935BED">
              <w:rPr>
                <w:noProof/>
                <w:lang w:val="en-US" w:eastAsia="en-US"/>
              </w:rPr>
              <w:drawing>
                <wp:inline distT="0" distB="0" distL="0" distR="0">
                  <wp:extent cx="1998822" cy="1719072"/>
                  <wp:effectExtent l="57150" t="19050" r="115728" b="71628"/>
                  <wp:docPr id="28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8822" cy="17190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935BED" w:rsidRDefault="00497673" w:rsidP="00EE3895">
            <w:pPr>
              <w:spacing w:before="240" w:after="0"/>
              <w:jc w:val="center"/>
            </w:pPr>
            <w:r w:rsidRPr="00497673">
              <w:rPr>
                <w:sz w:val="16"/>
                <w:szCs w:val="16"/>
              </w:rPr>
              <w:t>Složitá kresba - mimoúrovňové křížení</w:t>
            </w:r>
            <w:r>
              <w:br/>
            </w:r>
            <w:r w:rsidR="00935BED" w:rsidRPr="00C838EF">
              <w:rPr>
                <w:noProof/>
                <w:lang w:val="en-US" w:eastAsia="en-US"/>
              </w:rPr>
              <w:drawing>
                <wp:inline distT="0" distB="0" distL="0" distR="0">
                  <wp:extent cx="1783080" cy="1719272"/>
                  <wp:effectExtent l="57150" t="19050" r="121920" b="71428"/>
                  <wp:docPr id="29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17192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7673" w:rsidRPr="00AB2BD7" w:rsidRDefault="00497673" w:rsidP="00497673">
      <w:pPr>
        <w:spacing w:before="0"/>
        <w:jc w:val="center"/>
        <w:rPr>
          <w:sz w:val="16"/>
          <w:szCs w:val="16"/>
        </w:rPr>
      </w:pPr>
      <w:r w:rsidRPr="00AB2BD7">
        <w:rPr>
          <w:sz w:val="16"/>
          <w:szCs w:val="16"/>
        </w:rPr>
        <w:t xml:space="preserve">Obrázek </w:t>
      </w:r>
      <w:r w:rsidR="0028551B" w:rsidRPr="00AB2BD7">
        <w:rPr>
          <w:sz w:val="16"/>
          <w:szCs w:val="16"/>
        </w:rPr>
        <w:fldChar w:fldCharType="begin"/>
      </w:r>
      <w:r w:rsidR="00BC0A9B" w:rsidRPr="00AB2BD7">
        <w:rPr>
          <w:sz w:val="16"/>
          <w:szCs w:val="16"/>
        </w:rPr>
        <w:instrText xml:space="preserve"> SEQ Figure \* ARABIC </w:instrText>
      </w:r>
      <w:r w:rsidR="0028551B" w:rsidRPr="00AB2BD7">
        <w:rPr>
          <w:sz w:val="16"/>
          <w:szCs w:val="16"/>
        </w:rPr>
        <w:fldChar w:fldCharType="separate"/>
      </w:r>
      <w:r w:rsidR="000766FE" w:rsidRPr="00AB2BD7">
        <w:rPr>
          <w:noProof/>
          <w:sz w:val="16"/>
          <w:szCs w:val="16"/>
        </w:rPr>
        <w:t>2</w:t>
      </w:r>
      <w:r w:rsidR="0028551B" w:rsidRPr="00AB2BD7">
        <w:rPr>
          <w:sz w:val="16"/>
          <w:szCs w:val="16"/>
        </w:rPr>
        <w:fldChar w:fldCharType="end"/>
      </w:r>
      <w:r w:rsidRPr="00AB2BD7">
        <w:rPr>
          <w:sz w:val="16"/>
          <w:szCs w:val="16"/>
        </w:rPr>
        <w:t xml:space="preserve"> Generalizace s jednoduchou a složitou kresbou objektů</w:t>
      </w:r>
    </w:p>
    <w:p w:rsidR="007D50D3" w:rsidRDefault="005A6C2F" w:rsidP="00CC6037">
      <w:r>
        <w:t>Pokud dojde ke změně okolních</w:t>
      </w:r>
      <w:r w:rsidR="00FB1A31">
        <w:t>,</w:t>
      </w:r>
      <w:r>
        <w:t xml:space="preserve"> či </w:t>
      </w:r>
      <w:r w:rsidR="007D50D3">
        <w:t xml:space="preserve">dokonce </w:t>
      </w:r>
      <w:r>
        <w:t>generalizovaných prvků, je samozřejmě potřeba pozornosti kartografa, aby prověřil její vliv na již proved</w:t>
      </w:r>
      <w:r w:rsidR="00EA550A">
        <w:t>enou generalizaci a </w:t>
      </w:r>
      <w:r>
        <w:t xml:space="preserve">situaci vyřešil. Nezávisle na pracnosti prvotní generalizace při novotvorbě je pravděpodobné, že úpravy v příkladu sádek budou z větší části sestávat z prostého převzetí grafických prvků z předchozího vydání, protože kontext a způsob řešení je na první pohled jasný. Opakované práce kartografa </w:t>
      </w:r>
      <w:r w:rsidR="00EA550A">
        <w:t>budou tedy poměrně nenáročné. V </w:t>
      </w:r>
      <w:r>
        <w:t>případě křižovatky, kdy je výsledkem komplexní kresba sestávající z mnoha grafických elementů</w:t>
      </w:r>
      <w:r w:rsidR="00EA550A">
        <w:t>,</w:t>
      </w:r>
      <w:r>
        <w:t xml:space="preserve"> bude náročnost prvotní orientace v problém</w:t>
      </w:r>
      <w:r w:rsidR="00EA550A">
        <w:t>u</w:t>
      </w:r>
      <w:r>
        <w:t>, navržení a realizace řešení svou pracností velice podobná novotvorbě.</w:t>
      </w:r>
    </w:p>
    <w:p w:rsidR="00C838EF" w:rsidRDefault="00FB1A31" w:rsidP="00EE3895">
      <w:pPr>
        <w:spacing w:before="240"/>
        <w:jc w:val="center"/>
      </w:pPr>
      <w:r>
        <w:lastRenderedPageBreak/>
        <w:t xml:space="preserve">  </w:t>
      </w:r>
      <w:r w:rsidR="00935BED">
        <w:rPr>
          <w:noProof/>
          <w:lang w:val="en-US" w:eastAsia="en-US"/>
        </w:rPr>
        <w:drawing>
          <wp:inline distT="0" distB="0" distL="0" distR="0">
            <wp:extent cx="4019550" cy="2227734"/>
            <wp:effectExtent l="57150" t="19050" r="114300" b="77316"/>
            <wp:docPr id="26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22773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F83530" w:rsidRPr="00F83530" w:rsidRDefault="00F83530" w:rsidP="00EE3895">
      <w:pPr>
        <w:spacing w:before="0"/>
        <w:jc w:val="center"/>
        <w:rPr>
          <w:sz w:val="16"/>
          <w:szCs w:val="16"/>
        </w:rPr>
      </w:pPr>
      <w:r>
        <w:rPr>
          <w:sz w:val="16"/>
          <w:szCs w:val="16"/>
        </w:rPr>
        <w:t xml:space="preserve">Obrázek </w:t>
      </w:r>
      <w:r w:rsidR="0028551B" w:rsidRPr="00F83530">
        <w:rPr>
          <w:sz w:val="16"/>
          <w:szCs w:val="16"/>
        </w:rPr>
        <w:fldChar w:fldCharType="begin"/>
      </w:r>
      <w:r w:rsidRPr="00F83530">
        <w:rPr>
          <w:sz w:val="16"/>
          <w:szCs w:val="16"/>
        </w:rPr>
        <w:instrText xml:space="preserve"> SEQ Figure \* ARABIC </w:instrText>
      </w:r>
      <w:r w:rsidR="0028551B" w:rsidRPr="00F83530">
        <w:rPr>
          <w:sz w:val="16"/>
          <w:szCs w:val="16"/>
        </w:rPr>
        <w:fldChar w:fldCharType="separate"/>
      </w:r>
      <w:r w:rsidR="000766FE">
        <w:rPr>
          <w:noProof/>
          <w:sz w:val="16"/>
          <w:szCs w:val="16"/>
        </w:rPr>
        <w:t>3</w:t>
      </w:r>
      <w:r w:rsidR="0028551B" w:rsidRPr="00F83530">
        <w:rPr>
          <w:sz w:val="16"/>
          <w:szCs w:val="16"/>
        </w:rPr>
        <w:fldChar w:fldCharType="end"/>
      </w:r>
      <w:r w:rsidRPr="00F83530">
        <w:rPr>
          <w:sz w:val="16"/>
          <w:szCs w:val="16"/>
        </w:rPr>
        <w:t xml:space="preserve"> - Znázornění pracnosti generalizace operátorem při obnově</w:t>
      </w:r>
    </w:p>
    <w:p w:rsidR="00CC6037" w:rsidRDefault="00CC6037" w:rsidP="00CC6037">
      <w:r>
        <w:t>Generalizovan</w:t>
      </w:r>
      <w:r w:rsidR="00580C75">
        <w:t>á</w:t>
      </w:r>
      <w:r>
        <w:t xml:space="preserve"> kresb</w:t>
      </w:r>
      <w:r w:rsidR="00580C75">
        <w:t>a</w:t>
      </w:r>
      <w:r>
        <w:t>, kterou je vhodné zařadit do databáze stálých kartografických rep</w:t>
      </w:r>
      <w:r w:rsidR="00CF634A">
        <w:t>re</w:t>
      </w:r>
      <w:r>
        <w:t>zentací</w:t>
      </w:r>
      <w:r w:rsidR="00637193">
        <w:t xml:space="preserve"> (dále jen </w:t>
      </w:r>
      <w:r w:rsidR="00637193" w:rsidRPr="00EA550A">
        <w:rPr>
          <w:i/>
        </w:rPr>
        <w:t>Databáze</w:t>
      </w:r>
      <w:r w:rsidR="00637193">
        <w:t>)</w:t>
      </w:r>
      <w:r w:rsidR="00EA550A">
        <w:t>,</w:t>
      </w:r>
      <w:r>
        <w:t xml:space="preserve"> má některé společné rysy:</w:t>
      </w:r>
    </w:p>
    <w:p w:rsidR="00CC6037" w:rsidRDefault="00EA550A" w:rsidP="00CC6037">
      <w:pPr>
        <w:pStyle w:val="Odstavecseseznamem"/>
        <w:numPr>
          <w:ilvl w:val="0"/>
          <w:numId w:val="8"/>
        </w:numPr>
      </w:pPr>
      <w:r>
        <w:t>objekty, které ji vytvářejí</w:t>
      </w:r>
      <w:r w:rsidR="00FB1A31">
        <w:t>,</w:t>
      </w:r>
      <w:r>
        <w:t xml:space="preserve"> mají </w:t>
      </w:r>
      <w:r w:rsidR="00CC6037">
        <w:t>trval</w:t>
      </w:r>
      <w:r w:rsidR="00CF634A">
        <w:t>ý charakter</w:t>
      </w:r>
      <w:r w:rsidR="00FB1A31">
        <w:t>,</w:t>
      </w:r>
      <w:r>
        <w:t xml:space="preserve"> a je pravděpodobné, že se nebudou v dalších vydáních měnit</w:t>
      </w:r>
    </w:p>
    <w:p w:rsidR="00CC6037" w:rsidRDefault="00CC6037" w:rsidP="00CC6037">
      <w:pPr>
        <w:pStyle w:val="Odstavecseseznamem"/>
        <w:numPr>
          <w:ilvl w:val="0"/>
          <w:numId w:val="8"/>
        </w:numPr>
      </w:pPr>
      <w:r>
        <w:t>objekty mají charakteristickou kresbu</w:t>
      </w:r>
      <w:r w:rsidR="00D531D3">
        <w:t xml:space="preserve"> či uspořádání objektů</w:t>
      </w:r>
      <w:r>
        <w:t xml:space="preserve">, která je snadno rozpoznatelná pro kartografa, ale obtížně </w:t>
      </w:r>
      <w:proofErr w:type="spellStart"/>
      <w:r>
        <w:t>generalizovatelná</w:t>
      </w:r>
      <w:proofErr w:type="spellEnd"/>
      <w:r>
        <w:t xml:space="preserve"> pomocí automatických postupů</w:t>
      </w:r>
    </w:p>
    <w:p w:rsidR="00446D8E" w:rsidRDefault="00CC6037" w:rsidP="00497673">
      <w:pPr>
        <w:pStyle w:val="Odstavecseseznamem"/>
        <w:numPr>
          <w:ilvl w:val="0"/>
          <w:numId w:val="8"/>
        </w:numPr>
      </w:pPr>
      <w:r>
        <w:t>objekty vyvářejí charakteristickou strukturu, kterou je i po generalizaci vhodné zachovat</w:t>
      </w:r>
      <w:r w:rsidR="00EA550A">
        <w:t>,</w:t>
      </w:r>
      <w:r>
        <w:t xml:space="preserve"> či dokonce zvýraznit</w:t>
      </w:r>
    </w:p>
    <w:p w:rsidR="00405265" w:rsidRDefault="00CF634A" w:rsidP="00405265">
      <w:r>
        <w:t>Velké množství objektů a struktur, které jsou při kartografickém zpracování generalizovány</w:t>
      </w:r>
      <w:r w:rsidR="00580C75">
        <w:t>,</w:t>
      </w:r>
      <w:r>
        <w:t xml:space="preserve"> má z hlediska obnovy mapového díla trvalý charakter, tzn. jeho optimální zobrazení se nemění po několik vydání mapy. Jedná se jak o trvalé objekty terénu (skály, strže, náspy)</w:t>
      </w:r>
      <w:r w:rsidR="00580C75">
        <w:t>,</w:t>
      </w:r>
      <w:r>
        <w:t xml:space="preserve"> tak zejména o objekty vytvořené člověkem (budovy kostelů specifického tvaru, křížové cesty, sádky, nádrže, mimoúrovňové křižovatky, </w:t>
      </w:r>
      <w:r w:rsidR="00D531D3">
        <w:t>kolej</w:t>
      </w:r>
      <w:r w:rsidR="00EA550A">
        <w:t>iště v </w:t>
      </w:r>
      <w:r>
        <w:t>nádraží</w:t>
      </w:r>
      <w:r w:rsidR="00FB1A31">
        <w:t xml:space="preserve"> aj.</w:t>
      </w:r>
      <w:r>
        <w:t xml:space="preserve">). Jedním ze základních požadavků na zařazení do </w:t>
      </w:r>
      <w:r w:rsidRPr="00EA550A">
        <w:rPr>
          <w:i/>
        </w:rPr>
        <w:t>Databáze</w:t>
      </w:r>
      <w:r>
        <w:t xml:space="preserve"> je tedy požadavek na jeho </w:t>
      </w:r>
      <w:r w:rsidRPr="00CF634A">
        <w:rPr>
          <w:u w:val="single"/>
        </w:rPr>
        <w:t>trvalý charakter</w:t>
      </w:r>
      <w:r>
        <w:t xml:space="preserve"> v poměru k cyklu obnovy mapového díla.</w:t>
      </w:r>
    </w:p>
    <w:p w:rsidR="00405265" w:rsidRDefault="00405265" w:rsidP="00EA550A">
      <w:pPr>
        <w:pStyle w:val="Nadpis2"/>
      </w:pPr>
      <w:r>
        <w:lastRenderedPageBreak/>
        <w:t>Typizace</w:t>
      </w:r>
    </w:p>
    <w:p w:rsidR="00997487" w:rsidRDefault="00997487" w:rsidP="00EA550A">
      <w:pPr>
        <w:keepNext/>
      </w:pPr>
      <w:r>
        <w:t xml:space="preserve">Skupiny objektů, jejichž generalizace je postavena na základě typizace jsou typickým příkladem kandidátů na zařazení do </w:t>
      </w:r>
      <w:r w:rsidR="00EA550A" w:rsidRPr="00EA550A">
        <w:rPr>
          <w:i/>
        </w:rPr>
        <w:t>Da</w:t>
      </w:r>
      <w:r w:rsidRPr="00EA550A">
        <w:rPr>
          <w:i/>
        </w:rPr>
        <w:t>tabáze</w:t>
      </w:r>
      <w:r>
        <w:t xml:space="preserve"> stálých kartografických zobrazení. Obecně lze všechny varianty typizace spolehlivě definovat a vyřešit pomocí odpovídajících strukturálních vzorů a příslušných algoritmů operátoru typizace. Jejich implementace může však být náročnější než počet výskytů příslušného vzoru v mapovém díle, často je proto efektivnější problém vyřešit zařazením konkrétní situace do </w:t>
      </w:r>
      <w:r w:rsidRPr="009949EC">
        <w:rPr>
          <w:i/>
        </w:rPr>
        <w:t>Databáze</w:t>
      </w:r>
      <w:r>
        <w:t xml:space="preserve">.  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06"/>
        <w:gridCol w:w="3227"/>
        <w:gridCol w:w="3110"/>
      </w:tblGrid>
      <w:tr w:rsidR="00405265" w:rsidTr="00405265">
        <w:tc>
          <w:tcPr>
            <w:tcW w:w="3081" w:type="dxa"/>
          </w:tcPr>
          <w:p w:rsidR="00405265" w:rsidRDefault="00637193" w:rsidP="00EE3895">
            <w:pPr>
              <w:keepNext/>
              <w:spacing w:before="240" w:after="0"/>
              <w:jc w:val="center"/>
            </w:pPr>
            <w:r>
              <w:t>Křížová cesta</w:t>
            </w:r>
            <w:r>
              <w:br/>
            </w:r>
            <w:r w:rsidR="00EA550A" w:rsidRPr="00EA550A">
              <w:rPr>
                <w:noProof/>
                <w:lang w:val="en-US" w:eastAsia="en-US"/>
              </w:rPr>
              <w:drawing>
                <wp:inline distT="0" distB="0" distL="0" distR="0">
                  <wp:extent cx="1590657" cy="1481328"/>
                  <wp:effectExtent l="57150" t="19050" r="104793" b="80772"/>
                  <wp:docPr id="22" name="Obrázek 0" descr="KrizovaCest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rizovaCesta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57" cy="148132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2"/>
                            </a:solidFill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405265" w:rsidRDefault="00637193" w:rsidP="00EE3895">
            <w:pPr>
              <w:keepNext/>
              <w:spacing w:before="240" w:after="0"/>
              <w:jc w:val="center"/>
            </w:pPr>
            <w:r>
              <w:t>Řada komínů</w:t>
            </w:r>
            <w:r>
              <w:br/>
            </w:r>
            <w:r w:rsidR="00D33C11">
              <w:rPr>
                <w:noProof/>
                <w:lang w:val="en-US" w:eastAsia="en-US"/>
              </w:rPr>
              <w:drawing>
                <wp:inline distT="0" distB="0" distL="0" distR="0">
                  <wp:extent cx="1783080" cy="1479956"/>
                  <wp:effectExtent l="57150" t="19050" r="121920" b="82144"/>
                  <wp:docPr id="2" name="Obrázek 1" descr="ShlukKomin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hlukKominu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080" cy="147995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2"/>
                            </a:solidFill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BD17CD" w:rsidRDefault="00997487" w:rsidP="00EE3895">
            <w:pPr>
              <w:keepNext/>
              <w:spacing w:before="240" w:after="0"/>
              <w:jc w:val="center"/>
            </w:pPr>
            <w:r>
              <w:t>Sádky</w:t>
            </w:r>
            <w:r>
              <w:br/>
            </w:r>
            <w:r w:rsidR="00BD17CD">
              <w:rPr>
                <w:noProof/>
                <w:lang w:val="en-US" w:eastAsia="en-US"/>
              </w:rPr>
              <w:drawing>
                <wp:inline distT="0" distB="0" distL="0" distR="0">
                  <wp:extent cx="1722389" cy="1481328"/>
                  <wp:effectExtent l="57150" t="19050" r="106411" b="80772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389" cy="1481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7487" w:rsidRPr="00F83530" w:rsidRDefault="00997487" w:rsidP="00DE6DD5">
      <w:pPr>
        <w:spacing w:before="0"/>
        <w:jc w:val="center"/>
        <w:rPr>
          <w:sz w:val="16"/>
          <w:szCs w:val="16"/>
        </w:rPr>
      </w:pPr>
      <w:r w:rsidRPr="00F83530">
        <w:rPr>
          <w:sz w:val="16"/>
          <w:szCs w:val="16"/>
        </w:rPr>
        <w:t xml:space="preserve">Obrázek </w:t>
      </w:r>
      <w:r w:rsidR="0028551B" w:rsidRPr="00F83530">
        <w:rPr>
          <w:sz w:val="16"/>
          <w:szCs w:val="16"/>
        </w:rPr>
        <w:fldChar w:fldCharType="begin"/>
      </w:r>
      <w:r w:rsidRPr="00F83530">
        <w:rPr>
          <w:sz w:val="16"/>
          <w:szCs w:val="16"/>
        </w:rPr>
        <w:instrText xml:space="preserve"> SEQ Figure \* ARABIC </w:instrText>
      </w:r>
      <w:r w:rsidR="0028551B" w:rsidRPr="00F83530">
        <w:rPr>
          <w:sz w:val="16"/>
          <w:szCs w:val="16"/>
        </w:rPr>
        <w:fldChar w:fldCharType="separate"/>
      </w:r>
      <w:r w:rsidR="000766FE">
        <w:rPr>
          <w:noProof/>
          <w:sz w:val="16"/>
          <w:szCs w:val="16"/>
        </w:rPr>
        <w:t>4</w:t>
      </w:r>
      <w:r w:rsidR="0028551B" w:rsidRPr="00F83530">
        <w:rPr>
          <w:sz w:val="16"/>
          <w:szCs w:val="16"/>
        </w:rPr>
        <w:fldChar w:fldCharType="end"/>
      </w:r>
      <w:r w:rsidRPr="00F83530">
        <w:rPr>
          <w:sz w:val="16"/>
          <w:szCs w:val="16"/>
        </w:rPr>
        <w:t xml:space="preserve"> - Příklady generalizace s využitím typizace</w:t>
      </w:r>
    </w:p>
    <w:p w:rsidR="00D614C8" w:rsidRDefault="00D614C8" w:rsidP="00D614C8">
      <w:pPr>
        <w:pStyle w:val="Nadpis2"/>
      </w:pPr>
      <w:r>
        <w:t>Řešení složitější kresby</w:t>
      </w:r>
    </w:p>
    <w:p w:rsidR="00997487" w:rsidRDefault="00997487" w:rsidP="0046765C">
      <w:r>
        <w:t xml:space="preserve">Dalším typem generalizačních situací, které je vhodné řešit zařazením do </w:t>
      </w:r>
      <w:r w:rsidRPr="009949EC">
        <w:rPr>
          <w:i/>
        </w:rPr>
        <w:t>Databáze</w:t>
      </w:r>
      <w:r>
        <w:t xml:space="preserve"> je generalizace složité kresby mnoha objektů, jako nap</w:t>
      </w:r>
      <w:r w:rsidR="00A963EC">
        <w:t>říklad řešení mimoúrovňových kří</w:t>
      </w:r>
      <w:r w:rsidR="00755528">
        <w:t>žení a kruhových objezdů.</w:t>
      </w:r>
    </w:p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81"/>
        <w:gridCol w:w="3081"/>
        <w:gridCol w:w="3081"/>
      </w:tblGrid>
      <w:tr w:rsidR="00755528" w:rsidTr="003F3BA6">
        <w:trPr>
          <w:jc w:val="center"/>
        </w:trPr>
        <w:tc>
          <w:tcPr>
            <w:tcW w:w="3081" w:type="dxa"/>
          </w:tcPr>
          <w:p w:rsidR="00755528" w:rsidRDefault="00D44959" w:rsidP="00C24E07">
            <w:pPr>
              <w:spacing w:before="240" w:after="0"/>
              <w:jc w:val="center"/>
            </w:pPr>
            <w:r>
              <w:rPr>
                <w:noProof/>
                <w:lang w:val="en-US" w:eastAsia="en-US"/>
              </w:rPr>
              <w:drawing>
                <wp:inline distT="0" distB="0" distL="0" distR="0">
                  <wp:extent cx="1783080" cy="1577602"/>
                  <wp:effectExtent l="57150" t="19050" r="121920" b="79748"/>
                  <wp:docPr id="1" name="Obrázek 0" descr="zm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m10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080" cy="1577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755528" w:rsidRDefault="00D44959" w:rsidP="00C24E07">
            <w:pPr>
              <w:spacing w:before="240" w:after="0"/>
              <w:jc w:val="center"/>
            </w:pPr>
            <w:r>
              <w:rPr>
                <w:noProof/>
                <w:lang w:val="en-US" w:eastAsia="en-US"/>
              </w:rPr>
              <w:drawing>
                <wp:inline distT="0" distB="0" distL="0" distR="0">
                  <wp:extent cx="1783080" cy="1577602"/>
                  <wp:effectExtent l="57150" t="19050" r="121920" b="79748"/>
                  <wp:docPr id="8" name="Obrázek 7" descr="zm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m25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080" cy="1577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755528" w:rsidRDefault="00D44959" w:rsidP="00C24E07">
            <w:pPr>
              <w:spacing w:before="240" w:after="0"/>
              <w:jc w:val="center"/>
            </w:pPr>
            <w:r>
              <w:rPr>
                <w:noProof/>
                <w:lang w:val="en-US" w:eastAsia="en-US"/>
              </w:rPr>
              <w:drawing>
                <wp:inline distT="0" distB="0" distL="0" distR="0">
                  <wp:extent cx="1783080" cy="1577602"/>
                  <wp:effectExtent l="57150" t="19050" r="121920" b="79748"/>
                  <wp:docPr id="17" name="Obrázek 16" descr="zm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m50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080" cy="1577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5528" w:rsidRPr="00755528" w:rsidRDefault="00755528" w:rsidP="00DE6DD5">
      <w:pPr>
        <w:spacing w:before="0"/>
        <w:jc w:val="center"/>
        <w:rPr>
          <w:sz w:val="16"/>
          <w:szCs w:val="16"/>
        </w:rPr>
      </w:pPr>
      <w:r>
        <w:rPr>
          <w:sz w:val="16"/>
          <w:szCs w:val="16"/>
        </w:rPr>
        <w:t xml:space="preserve">Obrázek </w:t>
      </w:r>
      <w:r w:rsidR="0028551B" w:rsidRPr="00755528">
        <w:rPr>
          <w:sz w:val="16"/>
          <w:szCs w:val="16"/>
        </w:rPr>
        <w:fldChar w:fldCharType="begin"/>
      </w:r>
      <w:r w:rsidRPr="00755528">
        <w:rPr>
          <w:sz w:val="16"/>
          <w:szCs w:val="16"/>
        </w:rPr>
        <w:instrText xml:space="preserve"> SEQ Figure \* ARABIC </w:instrText>
      </w:r>
      <w:r w:rsidR="0028551B" w:rsidRPr="00755528">
        <w:rPr>
          <w:sz w:val="16"/>
          <w:szCs w:val="16"/>
        </w:rPr>
        <w:fldChar w:fldCharType="separate"/>
      </w:r>
      <w:r w:rsidR="000766FE">
        <w:rPr>
          <w:noProof/>
          <w:sz w:val="16"/>
          <w:szCs w:val="16"/>
        </w:rPr>
        <w:t>5</w:t>
      </w:r>
      <w:r w:rsidR="0028551B" w:rsidRPr="00755528">
        <w:rPr>
          <w:sz w:val="16"/>
          <w:szCs w:val="16"/>
        </w:rPr>
        <w:fldChar w:fldCharType="end"/>
      </w:r>
      <w:r>
        <w:rPr>
          <w:sz w:val="16"/>
          <w:szCs w:val="16"/>
        </w:rPr>
        <w:t xml:space="preserve"> - Složitá kresba mimoúrovňového křížení s kruhovým objezdem</w:t>
      </w:r>
    </w:p>
    <w:p w:rsidR="00B16CCC" w:rsidRPr="00FB1A31" w:rsidRDefault="00755528" w:rsidP="00DE6DD5">
      <w:pPr>
        <w:keepNext/>
      </w:pPr>
      <w:r>
        <w:lastRenderedPageBreak/>
        <w:t xml:space="preserve">Přestože situace na následujícím obrázku </w:t>
      </w:r>
      <w:r w:rsidR="00EA550A">
        <w:t xml:space="preserve">je obdobná, </w:t>
      </w:r>
      <w:r w:rsidR="0046765C">
        <w:t xml:space="preserve">není kandidátem na zařazení do </w:t>
      </w:r>
      <w:r w:rsidR="00FB1A31" w:rsidRPr="00EA550A">
        <w:rPr>
          <w:i/>
        </w:rPr>
        <w:t>Databáze</w:t>
      </w:r>
      <w:r w:rsidR="0046765C">
        <w:t>, protože se jedná o situaci ve výstavbě</w:t>
      </w:r>
      <w:r w:rsidR="00FB1A31">
        <w:t>,</w:t>
      </w:r>
      <w:r w:rsidR="0046765C">
        <w:t xml:space="preserve"> a je velká pravděpodobnost, že při další obnově daného území již nebude generalizovaná kresba minulého vydání použitelná. </w:t>
      </w:r>
    </w:p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55"/>
        <w:gridCol w:w="2988"/>
        <w:gridCol w:w="3100"/>
      </w:tblGrid>
      <w:tr w:rsidR="00B16CCC" w:rsidTr="00D614C8">
        <w:trPr>
          <w:jc w:val="center"/>
        </w:trPr>
        <w:tc>
          <w:tcPr>
            <w:tcW w:w="3081" w:type="dxa"/>
          </w:tcPr>
          <w:p w:rsidR="00B16CCC" w:rsidRDefault="00101706" w:rsidP="00EE3895">
            <w:pPr>
              <w:spacing w:before="240" w:after="0"/>
            </w:pPr>
            <w:r w:rsidRPr="00101706">
              <w:rPr>
                <w:noProof/>
                <w:lang w:val="en-US" w:eastAsia="en-US"/>
              </w:rPr>
              <w:drawing>
                <wp:inline distT="0" distB="0" distL="0" distR="0">
                  <wp:extent cx="1831807" cy="1618488"/>
                  <wp:effectExtent l="57150" t="19050" r="111293" b="76962"/>
                  <wp:docPr id="6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1807" cy="1618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B16CCC" w:rsidRDefault="0042263E" w:rsidP="00EE3895">
            <w:pPr>
              <w:spacing w:before="240" w:after="0"/>
            </w:pPr>
            <w:r>
              <w:rPr>
                <w:noProof/>
                <w:lang w:val="en-US" w:eastAsia="en-US"/>
              </w:rPr>
              <w:drawing>
                <wp:inline distT="0" distB="0" distL="0" distR="0">
                  <wp:extent cx="1711757" cy="1618488"/>
                  <wp:effectExtent l="57150" t="19050" r="117043" b="76962"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757" cy="1618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B16CCC" w:rsidRDefault="00101706" w:rsidP="00EE3895">
            <w:pPr>
              <w:spacing w:before="240" w:after="0"/>
            </w:pPr>
            <w:r w:rsidRPr="00101706">
              <w:rPr>
                <w:noProof/>
                <w:lang w:val="en-US" w:eastAsia="en-US"/>
              </w:rPr>
              <w:drawing>
                <wp:inline distT="0" distB="0" distL="0" distR="0">
                  <wp:extent cx="1783080" cy="1617605"/>
                  <wp:effectExtent l="57150" t="19050" r="121920" b="77845"/>
                  <wp:docPr id="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1617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5528" w:rsidRPr="00755528" w:rsidRDefault="00755528" w:rsidP="00DE6DD5">
      <w:pPr>
        <w:spacing w:before="0"/>
        <w:jc w:val="center"/>
        <w:rPr>
          <w:sz w:val="16"/>
          <w:szCs w:val="16"/>
        </w:rPr>
      </w:pPr>
      <w:r>
        <w:rPr>
          <w:sz w:val="16"/>
          <w:szCs w:val="16"/>
        </w:rPr>
        <w:t xml:space="preserve">Obrázek </w:t>
      </w:r>
      <w:r w:rsidR="0028551B" w:rsidRPr="00755528">
        <w:rPr>
          <w:sz w:val="16"/>
          <w:szCs w:val="16"/>
        </w:rPr>
        <w:fldChar w:fldCharType="begin"/>
      </w:r>
      <w:r w:rsidRPr="00755528">
        <w:rPr>
          <w:sz w:val="16"/>
          <w:szCs w:val="16"/>
        </w:rPr>
        <w:instrText xml:space="preserve"> SEQ Figure \* ARABIC </w:instrText>
      </w:r>
      <w:r w:rsidR="0028551B" w:rsidRPr="00755528">
        <w:rPr>
          <w:sz w:val="16"/>
          <w:szCs w:val="16"/>
        </w:rPr>
        <w:fldChar w:fldCharType="separate"/>
      </w:r>
      <w:r w:rsidR="000766FE">
        <w:rPr>
          <w:noProof/>
          <w:sz w:val="16"/>
          <w:szCs w:val="16"/>
        </w:rPr>
        <w:t>6</w:t>
      </w:r>
      <w:r w:rsidR="0028551B" w:rsidRPr="00755528">
        <w:rPr>
          <w:sz w:val="16"/>
          <w:szCs w:val="16"/>
        </w:rPr>
        <w:fldChar w:fldCharType="end"/>
      </w:r>
      <w:r>
        <w:rPr>
          <w:sz w:val="16"/>
          <w:szCs w:val="16"/>
        </w:rPr>
        <w:t xml:space="preserve"> - Mimoúrovňové křížení s kruhovým objezdem ve stavbě</w:t>
      </w:r>
    </w:p>
    <w:p w:rsidR="00B16CCC" w:rsidRDefault="00443669" w:rsidP="008F57BC">
      <w:pPr>
        <w:pStyle w:val="Nadpis2"/>
      </w:pPr>
      <w:r>
        <w:t xml:space="preserve">Uložení stálých kartografických reprezentací do </w:t>
      </w:r>
      <w:r w:rsidR="00F83530" w:rsidRPr="009949EC">
        <w:rPr>
          <w:i/>
        </w:rPr>
        <w:t>D</w:t>
      </w:r>
      <w:r w:rsidRPr="009949EC">
        <w:rPr>
          <w:i/>
        </w:rPr>
        <w:t>atabáze</w:t>
      </w:r>
    </w:p>
    <w:p w:rsidR="008F57BC" w:rsidRDefault="00B42264" w:rsidP="008F57BC">
      <w:pPr>
        <w:pStyle w:val="Nadpis3"/>
      </w:pPr>
      <w:r>
        <w:t>Databáze vícenásobných reprezentací</w:t>
      </w:r>
    </w:p>
    <w:p w:rsidR="00544162" w:rsidRPr="00FB1A31" w:rsidRDefault="00544162" w:rsidP="002A2071">
      <w:pPr>
        <w:keepNext/>
      </w:pPr>
      <w:r>
        <w:t>Vyjděme z následujícího obrázku. V zelené barvě jsou</w:t>
      </w:r>
      <w:r w:rsidR="00FB1A31">
        <w:t xml:space="preserve"> vykreslena</w:t>
      </w:r>
      <w:r>
        <w:t xml:space="preserve"> data objektového modelu </w:t>
      </w:r>
      <w:r w:rsidR="00794D1F">
        <w:t>t</w:t>
      </w:r>
      <w:r>
        <w:t>erénního reliéfu, ze kterého byla vygenerována mapa na pozadí. Některé prvky kresby bylo při kresbě nad míru nutno odsunout tak, aby nedošlo ke kolizi</w:t>
      </w:r>
      <w:r w:rsidR="00794D1F">
        <w:t xml:space="preserve">, </w:t>
      </w:r>
      <w:r>
        <w:t xml:space="preserve">zde povětšinou se stromořadím. </w:t>
      </w:r>
      <w:r w:rsidR="008C7B4C">
        <w:t xml:space="preserve">Pro </w:t>
      </w:r>
      <w:r w:rsidR="00794D1F">
        <w:t>tyto prvky je tedy potřeba kromě skutečného průběhu uchovat také průběh generalizovaný</w:t>
      </w:r>
      <w:r w:rsidR="000A7D52">
        <w:t xml:space="preserve"> - geometrii jeho kartografické reprezentace</w:t>
      </w:r>
      <w:r w:rsidR="00794D1F">
        <w:t>.</w:t>
      </w:r>
    </w:p>
    <w:p w:rsidR="00C16440" w:rsidRDefault="00FE2B08" w:rsidP="00EE3895">
      <w:pPr>
        <w:spacing w:before="240" w:after="0"/>
        <w:jc w:val="center"/>
        <w:rPr>
          <w:lang w:val="en-US"/>
        </w:rPr>
      </w:pPr>
      <w:r w:rsidRPr="00DE6DD5">
        <w:rPr>
          <w:noProof/>
          <w:sz w:val="16"/>
          <w:szCs w:val="16"/>
          <w:lang w:val="en-US" w:eastAsia="en-US"/>
        </w:rPr>
        <w:drawing>
          <wp:inline distT="0" distB="0" distL="0" distR="0">
            <wp:extent cx="5727700" cy="2101850"/>
            <wp:effectExtent l="57150" t="19050" r="120650" b="69850"/>
            <wp:docPr id="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101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794D1F" w:rsidRPr="00794D1F" w:rsidRDefault="00794D1F" w:rsidP="00DE6DD5">
      <w:pPr>
        <w:spacing w:before="0"/>
        <w:jc w:val="center"/>
        <w:rPr>
          <w:sz w:val="16"/>
          <w:szCs w:val="16"/>
          <w:lang w:val="en-US"/>
        </w:rPr>
      </w:pPr>
      <w:r>
        <w:rPr>
          <w:sz w:val="16"/>
          <w:szCs w:val="16"/>
        </w:rPr>
        <w:t xml:space="preserve">Obrázek </w:t>
      </w:r>
      <w:r w:rsidR="0028551B" w:rsidRPr="00794D1F">
        <w:rPr>
          <w:sz w:val="16"/>
          <w:szCs w:val="16"/>
        </w:rPr>
        <w:fldChar w:fldCharType="begin"/>
      </w:r>
      <w:r w:rsidRPr="00794D1F">
        <w:rPr>
          <w:sz w:val="16"/>
          <w:szCs w:val="16"/>
        </w:rPr>
        <w:instrText xml:space="preserve"> SEQ Figure \* ARABIC </w:instrText>
      </w:r>
      <w:r w:rsidR="0028551B" w:rsidRPr="00794D1F">
        <w:rPr>
          <w:sz w:val="16"/>
          <w:szCs w:val="16"/>
        </w:rPr>
        <w:fldChar w:fldCharType="separate"/>
      </w:r>
      <w:r w:rsidR="000766FE">
        <w:rPr>
          <w:noProof/>
          <w:sz w:val="16"/>
          <w:szCs w:val="16"/>
        </w:rPr>
        <w:t>7</w:t>
      </w:r>
      <w:r w:rsidR="0028551B" w:rsidRPr="00794D1F">
        <w:rPr>
          <w:sz w:val="16"/>
          <w:szCs w:val="16"/>
        </w:rPr>
        <w:fldChar w:fldCharType="end"/>
      </w:r>
      <w:r>
        <w:rPr>
          <w:sz w:val="16"/>
          <w:szCs w:val="16"/>
        </w:rPr>
        <w:t xml:space="preserve"> - Využití </w:t>
      </w:r>
      <w:r w:rsidR="00B42264">
        <w:rPr>
          <w:sz w:val="16"/>
          <w:szCs w:val="16"/>
        </w:rPr>
        <w:t xml:space="preserve">databáze vícenásobných reprezentací </w:t>
      </w:r>
      <w:r>
        <w:rPr>
          <w:sz w:val="16"/>
          <w:szCs w:val="16"/>
        </w:rPr>
        <w:t>k uchování generalizované kresby</w:t>
      </w:r>
    </w:p>
    <w:p w:rsidR="00A70D77" w:rsidRDefault="000A7D52" w:rsidP="000A7D52">
      <w:r>
        <w:tab/>
        <w:t xml:space="preserve">Přímočarým a elegantním řešením, které se pro ukládání generalizovaných kreseb mezi </w:t>
      </w:r>
      <w:r w:rsidR="00FB1A31">
        <w:t xml:space="preserve">jednotlivými </w:t>
      </w:r>
      <w:r>
        <w:t>vydáními mapového díla nabízí</w:t>
      </w:r>
      <w:r w:rsidR="00C400AC">
        <w:t>,</w:t>
      </w:r>
      <w:r>
        <w:t xml:space="preserve"> je tzv. </w:t>
      </w:r>
      <w:r w:rsidR="00D3590E">
        <w:t xml:space="preserve">databáze </w:t>
      </w:r>
      <w:r>
        <w:t>více</w:t>
      </w:r>
      <w:r w:rsidR="00D3590E">
        <w:t>násobných reprezentací</w:t>
      </w:r>
      <w:r>
        <w:rPr>
          <w:rStyle w:val="Znakapoznpodarou"/>
        </w:rPr>
        <w:footnoteReference w:id="2"/>
      </w:r>
      <w:r>
        <w:t>. Ve své nejjednodušší podobě se jedná o založení dalšího geometrického sloupce v databázi, do kterého ukládáme geometrii kartografické reprezentace. T</w:t>
      </w:r>
      <w:r w:rsidR="00A70D77">
        <w:t>ento způsob uložení v</w:t>
      </w:r>
      <w:r>
        <w:t>idíme v následující tabulce, která ukazuje geometrii několika záznamů liniových prvků mapy v</w:t>
      </w:r>
      <w:r w:rsidR="00A70D77">
        <w:t xml:space="preserve">e zdrojovém modelu data_10 a geometrii jeho reprezentace </w:t>
      </w:r>
      <w:proofErr w:type="spellStart"/>
      <w:r w:rsidR="00A70D77">
        <w:t>representation</w:t>
      </w:r>
      <w:proofErr w:type="spellEnd"/>
      <w:r w:rsidR="00A70D77">
        <w:t>_10.</w:t>
      </w:r>
    </w:p>
    <w:p w:rsidR="000A7D52" w:rsidRDefault="000A7D52" w:rsidP="002A2071">
      <w:pPr>
        <w:spacing w:before="240" w:after="0"/>
      </w:pPr>
      <w:r w:rsidRPr="000A7D52">
        <w:rPr>
          <w:noProof/>
          <w:lang w:val="en-US" w:eastAsia="en-US"/>
        </w:rPr>
        <w:lastRenderedPageBreak/>
        <w:drawing>
          <wp:inline distT="0" distB="0" distL="0" distR="0">
            <wp:extent cx="5727700" cy="1797050"/>
            <wp:effectExtent l="57150" t="19050" r="120650" b="69850"/>
            <wp:docPr id="1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7970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B42264" w:rsidRPr="00B42264" w:rsidRDefault="00B42264" w:rsidP="00DE6DD5">
      <w:pPr>
        <w:spacing w:before="0"/>
        <w:jc w:val="center"/>
        <w:rPr>
          <w:sz w:val="16"/>
          <w:szCs w:val="16"/>
        </w:rPr>
      </w:pPr>
      <w:r>
        <w:rPr>
          <w:sz w:val="16"/>
          <w:szCs w:val="16"/>
        </w:rPr>
        <w:t xml:space="preserve">Tabulka </w:t>
      </w:r>
      <w:r w:rsidR="0028551B" w:rsidRPr="00B42264">
        <w:rPr>
          <w:sz w:val="16"/>
          <w:szCs w:val="16"/>
        </w:rPr>
        <w:fldChar w:fldCharType="begin"/>
      </w:r>
      <w:r w:rsidRPr="00B42264">
        <w:rPr>
          <w:sz w:val="16"/>
          <w:szCs w:val="16"/>
        </w:rPr>
        <w:instrText xml:space="preserve"> SEQ Table \* ARABIC </w:instrText>
      </w:r>
      <w:r w:rsidR="0028551B" w:rsidRPr="00B42264">
        <w:rPr>
          <w:sz w:val="16"/>
          <w:szCs w:val="16"/>
        </w:rPr>
        <w:fldChar w:fldCharType="separate"/>
      </w:r>
      <w:r w:rsidR="00C30E38">
        <w:rPr>
          <w:noProof/>
          <w:sz w:val="16"/>
          <w:szCs w:val="16"/>
        </w:rPr>
        <w:t>3</w:t>
      </w:r>
      <w:r w:rsidR="0028551B" w:rsidRPr="00B42264">
        <w:rPr>
          <w:sz w:val="16"/>
          <w:szCs w:val="16"/>
        </w:rPr>
        <w:fldChar w:fldCharType="end"/>
      </w:r>
      <w:r>
        <w:rPr>
          <w:sz w:val="16"/>
          <w:szCs w:val="16"/>
        </w:rPr>
        <w:t xml:space="preserve"> - Příklad </w:t>
      </w:r>
      <w:r w:rsidR="00F83530">
        <w:rPr>
          <w:sz w:val="16"/>
          <w:szCs w:val="16"/>
        </w:rPr>
        <w:t>uložení více geometrií v jednom záznamu databáze</w:t>
      </w:r>
    </w:p>
    <w:p w:rsidR="000A7D52" w:rsidRDefault="000A7D52" w:rsidP="000A7D52">
      <w:r>
        <w:tab/>
        <w:t>Výhody tohoto postupu jsou zřejmé: jednoduchost, rychlost</w:t>
      </w:r>
      <w:r w:rsidR="005B09F7">
        <w:t xml:space="preserve"> a</w:t>
      </w:r>
      <w:r>
        <w:t xml:space="preserve"> </w:t>
      </w:r>
      <w:r w:rsidR="00A70D77">
        <w:t>robustnost</w:t>
      </w:r>
      <w:r>
        <w:t xml:space="preserve"> v rámci </w:t>
      </w:r>
      <w:proofErr w:type="spellStart"/>
      <w:r w:rsidR="005B09F7">
        <w:t>geoprostorové</w:t>
      </w:r>
      <w:proofErr w:type="spellEnd"/>
      <w:r>
        <w:t xml:space="preserve"> </w:t>
      </w:r>
      <w:r w:rsidR="00755528">
        <w:t xml:space="preserve">databáze </w:t>
      </w:r>
      <w:r>
        <w:t xml:space="preserve">a </w:t>
      </w:r>
      <w:r w:rsidR="00755528">
        <w:t xml:space="preserve">její </w:t>
      </w:r>
      <w:r>
        <w:t xml:space="preserve">snadná </w:t>
      </w:r>
      <w:r w:rsidR="00C400AC">
        <w:t>ú</w:t>
      </w:r>
      <w:r>
        <w:t xml:space="preserve">držba. Nevýhodou jsou problémy při aktualizaci zdrojové databáze, kdy nelze pouze zaměnit data, ale je nutné identifikovat nezměněné záznamy a uchovat patřičnou reprezentaci v nové verzi. </w:t>
      </w:r>
    </w:p>
    <w:p w:rsidR="000A7D52" w:rsidRDefault="000A7D52" w:rsidP="000A7D52">
      <w:r>
        <w:tab/>
        <w:t>P</w:t>
      </w:r>
      <w:r w:rsidR="006A321A">
        <w:t xml:space="preserve">okud je </w:t>
      </w:r>
      <w:r w:rsidR="005B09F7">
        <w:t xml:space="preserve">však </w:t>
      </w:r>
      <w:r w:rsidR="006A321A">
        <w:t xml:space="preserve">technologicky a organizačně možné zachovat </w:t>
      </w:r>
      <w:r>
        <w:t>geometrie kartografických reprezentací mezi verzemi zdrojových dat</w:t>
      </w:r>
      <w:r w:rsidR="006A321A">
        <w:t>, m</w:t>
      </w:r>
      <w:r>
        <w:t xml:space="preserve">ůžeme </w:t>
      </w:r>
      <w:r w:rsidR="006A321A">
        <w:t xml:space="preserve">v tomto případě </w:t>
      </w:r>
      <w:r>
        <w:t xml:space="preserve">hovořit o </w:t>
      </w:r>
      <w:r w:rsidRPr="00677CFE">
        <w:rPr>
          <w:u w:val="single"/>
        </w:rPr>
        <w:t>Databázi stálých kartografických reprezentací první úrovně</w:t>
      </w:r>
      <w:r>
        <w:t>.</w:t>
      </w:r>
    </w:p>
    <w:p w:rsidR="00544162" w:rsidRPr="00EA210B" w:rsidRDefault="00665E23" w:rsidP="00665E23">
      <w:pPr>
        <w:pStyle w:val="Nadpis3"/>
      </w:pPr>
      <w:r w:rsidRPr="00EA210B">
        <w:t xml:space="preserve">Komplexní databáze </w:t>
      </w:r>
      <w:r w:rsidR="00D3284F">
        <w:t>stálých kartografických reprezentací</w:t>
      </w:r>
    </w:p>
    <w:p w:rsidR="0028202A" w:rsidRDefault="0028202A" w:rsidP="0028202A">
      <w:r w:rsidRPr="00EA210B">
        <w:t>Složité generalizační situace se netýkají jen jednoho prv</w:t>
      </w:r>
      <w:r w:rsidR="004B77FB">
        <w:t>ku, kartograf musí často při řešení vzít v </w:t>
      </w:r>
      <w:r w:rsidR="002A2071">
        <w:t xml:space="preserve">úvahu </w:t>
      </w:r>
      <w:r w:rsidRPr="00EA210B">
        <w:t>více prvků reprezentovaných různými</w:t>
      </w:r>
      <w:r w:rsidR="004B77FB">
        <w:t xml:space="preserve"> typy kartografických symbolů. Ty však mohou být </w:t>
      </w:r>
      <w:r w:rsidRPr="00EA210B">
        <w:t>uložen</w:t>
      </w:r>
      <w:r w:rsidR="004B77FB">
        <w:t>y</w:t>
      </w:r>
      <w:r w:rsidRPr="00EA210B">
        <w:t xml:space="preserve"> v</w:t>
      </w:r>
      <w:r w:rsidR="002A2071">
        <w:t xml:space="preserve">e více </w:t>
      </w:r>
      <w:r w:rsidRPr="00EA210B">
        <w:t>tabulkách databáze</w:t>
      </w:r>
      <w:r w:rsidR="002A2071">
        <w:t xml:space="preserve"> v závislosti </w:t>
      </w:r>
      <w:r w:rsidR="00FB1A31">
        <w:t>na tom</w:t>
      </w:r>
      <w:r w:rsidR="007811DE">
        <w:t xml:space="preserve">, které </w:t>
      </w:r>
      <w:r w:rsidR="00EA210B" w:rsidRPr="00EA210B">
        <w:t>třídy objektů v teré</w:t>
      </w:r>
      <w:r w:rsidR="00EA210B">
        <w:t>n</w:t>
      </w:r>
      <w:r w:rsidR="00EA210B" w:rsidRPr="00EA210B">
        <w:t>u</w:t>
      </w:r>
      <w:r w:rsidR="00FB1A31" w:rsidRPr="00FB1A31">
        <w:t xml:space="preserve"> </w:t>
      </w:r>
      <w:r w:rsidR="00FB1A31">
        <w:t>reprezentují</w:t>
      </w:r>
      <w:r w:rsidR="00EA210B" w:rsidRPr="00EA210B">
        <w:t>.</w:t>
      </w:r>
    </w:p>
    <w:p w:rsidR="00EA210B" w:rsidRPr="00EA210B" w:rsidRDefault="00EA210B" w:rsidP="0028202A">
      <w:r>
        <w:tab/>
        <w:t>Situace na následujícím obrázku zobrazuje areál sádek vykreslených v měřítku 1 : 10 000 ve skutečném průběhu. Při kresbě nadmíru v měřítku 1 : 25 000 již není možné kolize prvků řešit cestou odsunů, proto je situace řešena kombinací vypuštění, t</w:t>
      </w:r>
      <w:r w:rsidR="00B74974">
        <w:t xml:space="preserve">ypizace, zarovnání, zvýraznění a </w:t>
      </w:r>
      <w:r>
        <w:t>ortogonalizace.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81"/>
        <w:gridCol w:w="3081"/>
        <w:gridCol w:w="3081"/>
      </w:tblGrid>
      <w:tr w:rsidR="00EA72EF" w:rsidTr="00EA72EF">
        <w:tc>
          <w:tcPr>
            <w:tcW w:w="3081" w:type="dxa"/>
          </w:tcPr>
          <w:p w:rsidR="00083BD1" w:rsidRDefault="00755528" w:rsidP="000074C7">
            <w:pPr>
              <w:spacing w:after="0"/>
              <w:jc w:val="center"/>
            </w:pPr>
            <w:r>
              <w:t>1:10 000</w:t>
            </w:r>
            <w:r>
              <w:br/>
            </w:r>
            <w:r w:rsidR="00083BD1">
              <w:rPr>
                <w:noProof/>
                <w:lang w:val="en-US" w:eastAsia="en-US"/>
              </w:rPr>
              <w:drawing>
                <wp:inline distT="0" distB="0" distL="0" distR="0">
                  <wp:extent cx="1783080" cy="2210276"/>
                  <wp:effectExtent l="57150" t="19050" r="121920" b="75724"/>
                  <wp:docPr id="18" name="obrázek 18" descr="C:\Users\Radek Augustyn\AppData\Local\Microsoft\Windows\INetCache\Content.Word\02_Modra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Radek Augustyn\AppData\Local\Microsoft\Windows\INetCache\Content.Word\02_Modra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2210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083BD1" w:rsidRDefault="00755528" w:rsidP="00EE3895">
            <w:pPr>
              <w:spacing w:after="0"/>
              <w:jc w:val="center"/>
            </w:pPr>
            <w:r>
              <w:t>Koncept generalizace</w:t>
            </w:r>
            <w:r>
              <w:br/>
            </w:r>
            <w:r w:rsidR="00EA72EF">
              <w:rPr>
                <w:noProof/>
                <w:lang w:val="en-US" w:eastAsia="en-US"/>
              </w:rPr>
              <w:drawing>
                <wp:inline distT="0" distB="0" distL="0" distR="0">
                  <wp:extent cx="1783080" cy="2210602"/>
                  <wp:effectExtent l="57150" t="19050" r="121920" b="75398"/>
                  <wp:docPr id="27" name="obrázek 27" descr="C:\Users\Radek Augustyn\AppData\Local\Microsoft\Windows\INetCache\Content.Word\03_Merg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Radek Augustyn\AppData\Local\Microsoft\Windows\INetCache\Content.Word\03_Merg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2210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083BD1" w:rsidRDefault="00755528" w:rsidP="000074C7">
            <w:pPr>
              <w:spacing w:after="0"/>
              <w:jc w:val="center"/>
            </w:pPr>
            <w:r>
              <w:t>1:25 000</w:t>
            </w:r>
            <w:r>
              <w:br/>
            </w:r>
            <w:r w:rsidR="00083BD1">
              <w:rPr>
                <w:noProof/>
                <w:lang w:val="en-US" w:eastAsia="en-US"/>
              </w:rPr>
              <w:drawing>
                <wp:inline distT="0" distB="0" distL="0" distR="0">
                  <wp:extent cx="1783080" cy="2210276"/>
                  <wp:effectExtent l="57150" t="19050" r="121920" b="75724"/>
                  <wp:docPr id="5" name="obrázek 22" descr="C:\Users\Radek Augustyn\AppData\Local\Microsoft\Windows\INetCache\Content.Word\01_Modra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Radek Augustyn\AppData\Local\Microsoft\Windows\INetCache\Content.Word\01_Modra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2210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5528" w:rsidRPr="00755528" w:rsidRDefault="00755528" w:rsidP="00DE6DD5">
      <w:pPr>
        <w:spacing w:before="0"/>
        <w:jc w:val="center"/>
        <w:rPr>
          <w:sz w:val="16"/>
          <w:szCs w:val="16"/>
        </w:rPr>
      </w:pPr>
      <w:r>
        <w:rPr>
          <w:sz w:val="16"/>
          <w:szCs w:val="16"/>
        </w:rPr>
        <w:t xml:space="preserve">Obrázek </w:t>
      </w:r>
      <w:r w:rsidR="0028551B" w:rsidRPr="00755528">
        <w:rPr>
          <w:sz w:val="16"/>
          <w:szCs w:val="16"/>
        </w:rPr>
        <w:fldChar w:fldCharType="begin"/>
      </w:r>
      <w:r w:rsidRPr="00755528">
        <w:rPr>
          <w:sz w:val="16"/>
          <w:szCs w:val="16"/>
        </w:rPr>
        <w:instrText xml:space="preserve"> SEQ Figure \* ARABIC </w:instrText>
      </w:r>
      <w:r w:rsidR="0028551B" w:rsidRPr="00755528">
        <w:rPr>
          <w:sz w:val="16"/>
          <w:szCs w:val="16"/>
        </w:rPr>
        <w:fldChar w:fldCharType="separate"/>
      </w:r>
      <w:r w:rsidR="000766FE">
        <w:rPr>
          <w:noProof/>
          <w:sz w:val="16"/>
          <w:szCs w:val="16"/>
        </w:rPr>
        <w:t>8</w:t>
      </w:r>
      <w:r w:rsidR="0028551B" w:rsidRPr="00755528">
        <w:rPr>
          <w:sz w:val="16"/>
          <w:szCs w:val="16"/>
        </w:rPr>
        <w:fldChar w:fldCharType="end"/>
      </w:r>
      <w:r>
        <w:rPr>
          <w:sz w:val="16"/>
          <w:szCs w:val="16"/>
        </w:rPr>
        <w:t xml:space="preserve"> - Řešení generalizace sádek</w:t>
      </w:r>
    </w:p>
    <w:p w:rsidR="007316E6" w:rsidRDefault="00794D1F" w:rsidP="00AB4B46">
      <w:r>
        <w:tab/>
      </w:r>
      <w:r w:rsidR="00EA72EF">
        <w:t xml:space="preserve">Situace </w:t>
      </w:r>
      <w:r w:rsidR="00DC4AB0">
        <w:t>ne</w:t>
      </w:r>
      <w:r w:rsidR="00EA72EF">
        <w:t xml:space="preserve">má </w:t>
      </w:r>
      <w:r w:rsidR="00FB1A31">
        <w:t xml:space="preserve">pouze </w:t>
      </w:r>
      <w:r w:rsidR="00DC4AB0">
        <w:t>jedno správné řešení</w:t>
      </w:r>
      <w:r w:rsidR="00EA72EF">
        <w:t xml:space="preserve">. Je pravděpodobné, že pokročilý komplexní algoritmus </w:t>
      </w:r>
      <w:r w:rsidR="00D32EEA">
        <w:t xml:space="preserve">automatizované </w:t>
      </w:r>
      <w:r w:rsidR="00EA72EF">
        <w:t>generalizace</w:t>
      </w:r>
      <w:r w:rsidR="003C6C97">
        <w:t xml:space="preserve"> by mohl situaci vyřešit ještě lépe než kartograf. Nicméně</w:t>
      </w:r>
      <w:r w:rsidR="00AB2BD7">
        <w:t>,</w:t>
      </w:r>
      <w:r w:rsidR="003C6C97">
        <w:t xml:space="preserve"> vzhledem k nízkému počtu těchto situací v celém prostoru produkce Základních map</w:t>
      </w:r>
      <w:r w:rsidR="00AB2BD7">
        <w:t>,</w:t>
      </w:r>
      <w:r w:rsidR="003C6C97">
        <w:t xml:space="preserve"> by pravděpodobně nastavení parametrů takovéhoto procesu bylo náročnější než zařazení </w:t>
      </w:r>
      <w:r w:rsidR="00D32EEA">
        <w:t xml:space="preserve">několika situací </w:t>
      </w:r>
      <w:r w:rsidR="003C6C97">
        <w:t xml:space="preserve">do </w:t>
      </w:r>
      <w:r w:rsidR="00AB2BD7" w:rsidRPr="00EA550A">
        <w:rPr>
          <w:i/>
        </w:rPr>
        <w:t>Databáze</w:t>
      </w:r>
      <w:r w:rsidR="003C6C97">
        <w:t>.</w:t>
      </w:r>
    </w:p>
    <w:p w:rsidR="002315F1" w:rsidRDefault="002315F1" w:rsidP="00EA210B">
      <w:pPr>
        <w:keepNext/>
      </w:pPr>
      <w:r>
        <w:lastRenderedPageBreak/>
        <w:t>Důležité je všimnout si následujících charakteristik:</w:t>
      </w:r>
    </w:p>
    <w:p w:rsidR="003C6C97" w:rsidRPr="00755528" w:rsidRDefault="002315F1" w:rsidP="00AB2BD7">
      <w:pPr>
        <w:pStyle w:val="Odstavecseseznamem"/>
        <w:numPr>
          <w:ilvl w:val="0"/>
          <w:numId w:val="6"/>
        </w:numPr>
        <w:ind w:left="357" w:hanging="357"/>
        <w:contextualSpacing w:val="0"/>
      </w:pPr>
      <w:r w:rsidRPr="00755528">
        <w:t xml:space="preserve">některé z jednotlivých sádek jsou jako elementy </w:t>
      </w:r>
      <w:r w:rsidR="00D32EEA" w:rsidRPr="00755528">
        <w:t xml:space="preserve">pouze </w:t>
      </w:r>
      <w:r w:rsidR="00CF31B4" w:rsidRPr="00755528">
        <w:t xml:space="preserve">graficky </w:t>
      </w:r>
      <w:r w:rsidRPr="00755528">
        <w:t xml:space="preserve">zvýrazněny (zvětšeny) a odsunuty. </w:t>
      </w:r>
      <w:r w:rsidR="00AB2BD7">
        <w:t>Z</w:t>
      </w:r>
      <w:r w:rsidRPr="00755528">
        <w:t>ároveň jsou zarovnány s ostatními a řešeny společně s nimi</w:t>
      </w:r>
      <w:r w:rsidR="00482A79" w:rsidRPr="00755528">
        <w:t>;</w:t>
      </w:r>
    </w:p>
    <w:p w:rsidR="00482A79" w:rsidRPr="00755528" w:rsidRDefault="00482A79" w:rsidP="00AB2BD7">
      <w:pPr>
        <w:pStyle w:val="Odstavecseseznamem"/>
        <w:numPr>
          <w:ilvl w:val="0"/>
          <w:numId w:val="6"/>
        </w:numPr>
        <w:ind w:left="357" w:hanging="357"/>
        <w:contextualSpacing w:val="0"/>
      </w:pPr>
      <w:r w:rsidRPr="00755528">
        <w:t>horní a</w:t>
      </w:r>
      <w:r w:rsidR="00665E23" w:rsidRPr="00755528">
        <w:t xml:space="preserve"> dolní shluk sádek je řešen ve dvou fázích</w:t>
      </w:r>
      <w:r w:rsidRPr="00755528">
        <w:t xml:space="preserve">. Nejdříve je vyřešen každý ze shluků </w:t>
      </w:r>
      <w:r w:rsidR="00CF31B4">
        <w:t>samostatně</w:t>
      </w:r>
      <w:r w:rsidR="00AB2BD7">
        <w:t>,</w:t>
      </w:r>
      <w:r w:rsidR="00CF31B4">
        <w:t xml:space="preserve"> </w:t>
      </w:r>
      <w:r w:rsidRPr="00755528">
        <w:t>a poté je výsledná kresba zarovnána k sobě</w:t>
      </w:r>
      <w:r w:rsidR="00871677">
        <w:t>. Shluky opět nejsou samostatné, ale jsou oba součástí jednoho řešení</w:t>
      </w:r>
      <w:r w:rsidRPr="00755528">
        <w:t>;</w:t>
      </w:r>
    </w:p>
    <w:p w:rsidR="00482A79" w:rsidRPr="00482A79" w:rsidRDefault="00482A79" w:rsidP="002315F1">
      <w:pPr>
        <w:pStyle w:val="Odstavecseseznamem"/>
        <w:numPr>
          <w:ilvl w:val="0"/>
          <w:numId w:val="6"/>
        </w:numPr>
      </w:pPr>
      <w:r w:rsidRPr="00755528">
        <w:t>plocha druhu využití půdy, znázorňující pozemek objektu sádek</w:t>
      </w:r>
      <w:r w:rsidR="00AB2BD7">
        <w:t>,</w:t>
      </w:r>
      <w:r w:rsidRPr="00755528">
        <w:t xml:space="preserve"> vstupuje do </w:t>
      </w:r>
      <w:r w:rsidR="001B09EF" w:rsidRPr="00755528">
        <w:t xml:space="preserve">procesu </w:t>
      </w:r>
      <w:r w:rsidRPr="00755528">
        <w:t xml:space="preserve">jejich generalizace. Pokud by nebyla zobrazena, kresbu by bylo možné vyřešit pomocí poměrně jednoduchých odsunů, paralelizace, zvýraznění a zarovnání. Proto </w:t>
      </w:r>
      <w:r w:rsidR="00AB2BD7">
        <w:t xml:space="preserve">je </w:t>
      </w:r>
      <w:r w:rsidRPr="00755528">
        <w:t xml:space="preserve">tato plocha součástí </w:t>
      </w:r>
      <w:r w:rsidR="00DE6DD5">
        <w:t>situace</w:t>
      </w:r>
      <w:r w:rsidRPr="00755528">
        <w:t xml:space="preserve"> také.</w:t>
      </w:r>
    </w:p>
    <w:p w:rsidR="00446D8E" w:rsidRDefault="00446D8E" w:rsidP="00446D8E">
      <w:pPr>
        <w:pStyle w:val="Odstavecseseznamem"/>
        <w:ind w:left="0"/>
      </w:pPr>
    </w:p>
    <w:p w:rsidR="00482A79" w:rsidRDefault="002E2971" w:rsidP="00AC2780">
      <w:pPr>
        <w:pStyle w:val="Odstavecseseznamem"/>
        <w:keepNext/>
        <w:ind w:left="0"/>
      </w:pPr>
      <w:r>
        <w:t xml:space="preserve">Uložení takovéto struktury do databáze pro pozdější analýzu a využití znamená </w:t>
      </w:r>
      <w:r w:rsidR="00CF31B4">
        <w:t xml:space="preserve">na jedné straně uložit </w:t>
      </w:r>
      <w:r>
        <w:t xml:space="preserve">do jednoho záznamu </w:t>
      </w:r>
      <w:r w:rsidR="0081613D">
        <w:t>všechny objekty</w:t>
      </w:r>
      <w:r w:rsidR="00773945">
        <w:t xml:space="preserve"> </w:t>
      </w:r>
      <w:r w:rsidR="0081613D">
        <w:t>při jejichž změně je nutné provést revizi s</w:t>
      </w:r>
      <w:r w:rsidR="00CF31B4">
        <w:t>tálé kartografické reprezentace</w:t>
      </w:r>
      <w:r w:rsidR="00CF31B4" w:rsidRPr="00FB1A31">
        <w:t>;</w:t>
      </w:r>
      <w:r w:rsidR="0081613D">
        <w:t xml:space="preserve"> na druhé straně vlastní kartografickou reprezentaci</w:t>
      </w:r>
      <w:r>
        <w:t>:</w:t>
      </w:r>
    </w:p>
    <w:p w:rsidR="002E2971" w:rsidRDefault="0081613D" w:rsidP="00AC2780">
      <w:pPr>
        <w:pStyle w:val="Odstavecseseznamem"/>
        <w:keepNext/>
        <w:numPr>
          <w:ilvl w:val="0"/>
          <w:numId w:val="10"/>
        </w:numPr>
      </w:pPr>
      <w:r>
        <w:t>pro všechny klíčové objekty ve zdrojové databázi:</w:t>
      </w:r>
    </w:p>
    <w:p w:rsidR="002E2971" w:rsidRDefault="002E2971" w:rsidP="00AC2780">
      <w:pPr>
        <w:pStyle w:val="Odstavecseseznamem"/>
        <w:keepNext/>
        <w:numPr>
          <w:ilvl w:val="1"/>
          <w:numId w:val="10"/>
        </w:numPr>
      </w:pPr>
      <w:r>
        <w:t>všechny atributy</w:t>
      </w:r>
      <w:r w:rsidR="00C77C84">
        <w:t>, které jsou důležité pro pozdější vyhodnocení</w:t>
      </w:r>
      <w:r w:rsidR="00AB2BD7">
        <w:t xml:space="preserve"> toho</w:t>
      </w:r>
      <w:r w:rsidR="00D02AA3">
        <w:t>,</w:t>
      </w:r>
      <w:r w:rsidR="00C77C84">
        <w:t xml:space="preserve"> </w:t>
      </w:r>
      <w:r w:rsidR="00AB2BD7">
        <w:t>zda</w:t>
      </w:r>
      <w:r w:rsidR="00C77C84">
        <w:t xml:space="preserve"> byl objekt mezi verzemi změněn</w:t>
      </w:r>
    </w:p>
    <w:p w:rsidR="0081613D" w:rsidRDefault="0081613D" w:rsidP="00AC2780">
      <w:pPr>
        <w:pStyle w:val="Odstavecseseznamem"/>
        <w:keepNext/>
        <w:numPr>
          <w:ilvl w:val="1"/>
          <w:numId w:val="10"/>
        </w:numPr>
      </w:pPr>
      <w:r>
        <w:t>geometrii objektu ve zdrojové databázi</w:t>
      </w:r>
    </w:p>
    <w:p w:rsidR="002E2971" w:rsidRDefault="00C77C84" w:rsidP="00AC2780">
      <w:pPr>
        <w:pStyle w:val="Odstavecseseznamem"/>
        <w:keepNext/>
        <w:numPr>
          <w:ilvl w:val="0"/>
          <w:numId w:val="10"/>
        </w:numPr>
      </w:pPr>
      <w:r>
        <w:t xml:space="preserve">pro každý </w:t>
      </w:r>
      <w:r w:rsidR="0081613D">
        <w:t xml:space="preserve">zobrazovaný </w:t>
      </w:r>
      <w:r>
        <w:t>objekt</w:t>
      </w:r>
      <w:r w:rsidR="0081613D">
        <w:rPr>
          <w:rStyle w:val="Znakapoznpodarou"/>
        </w:rPr>
        <w:footnoteReference w:id="3"/>
      </w:r>
      <w:r w:rsidR="0081613D">
        <w:t>:</w:t>
      </w:r>
    </w:p>
    <w:p w:rsidR="002E2971" w:rsidRDefault="0081613D" w:rsidP="00AC2780">
      <w:pPr>
        <w:pStyle w:val="Odstavecseseznamem"/>
        <w:keepNext/>
        <w:numPr>
          <w:ilvl w:val="1"/>
          <w:numId w:val="10"/>
        </w:numPr>
      </w:pPr>
      <w:r>
        <w:t>geometrii objektu, která bude vykreslena</w:t>
      </w:r>
    </w:p>
    <w:p w:rsidR="0081613D" w:rsidRDefault="0081613D" w:rsidP="00446D8E">
      <w:pPr>
        <w:pStyle w:val="Odstavecseseznamem"/>
        <w:numPr>
          <w:ilvl w:val="1"/>
          <w:numId w:val="10"/>
        </w:numPr>
      </w:pPr>
      <w:r>
        <w:t>informace pro vykreslení v závislosti na použitém software</w:t>
      </w:r>
    </w:p>
    <w:p w:rsidR="00EE3895" w:rsidRDefault="00EE3895" w:rsidP="00446D8E">
      <w:pPr>
        <w:pStyle w:val="Odstavecseseznamem"/>
        <w:ind w:left="0"/>
      </w:pPr>
    </w:p>
    <w:tbl>
      <w:tblPr>
        <w:tblStyle w:val="Mkatabulky"/>
        <w:tblW w:w="0" w:type="auto"/>
        <w:tblBorders>
          <w:top w:val="single" w:sz="4" w:space="0" w:color="1F497D" w:themeColor="text2"/>
          <w:left w:val="single" w:sz="4" w:space="0" w:color="1F497D" w:themeColor="text2"/>
          <w:bottom w:val="single" w:sz="4" w:space="0" w:color="1F497D" w:themeColor="text2"/>
          <w:right w:val="single" w:sz="4" w:space="0" w:color="1F497D" w:themeColor="text2"/>
          <w:insideH w:val="single" w:sz="4" w:space="0" w:color="1F497D" w:themeColor="text2"/>
          <w:insideV w:val="single" w:sz="4" w:space="0" w:color="1F497D" w:themeColor="text2"/>
        </w:tblBorders>
        <w:tblLook w:val="04A0"/>
      </w:tblPr>
      <w:tblGrid>
        <w:gridCol w:w="9243"/>
      </w:tblGrid>
      <w:tr w:rsidR="00665E23" w:rsidRPr="00C77C84" w:rsidTr="0081613D">
        <w:tc>
          <w:tcPr>
            <w:tcW w:w="9243" w:type="dxa"/>
            <w:tcBorders>
              <w:top w:val="single" w:sz="4" w:space="0" w:color="1F497D" w:themeColor="text2"/>
              <w:left w:val="single" w:sz="4" w:space="0" w:color="1F497D" w:themeColor="text2"/>
              <w:bottom w:val="single" w:sz="4" w:space="0" w:color="1F497D" w:themeColor="text2"/>
              <w:right w:val="single" w:sz="4" w:space="0" w:color="1F497D" w:themeColor="text2"/>
            </w:tcBorders>
            <w:shd w:val="clear" w:color="auto" w:fill="DBE5F1" w:themeFill="accent1" w:themeFillTint="33"/>
          </w:tcPr>
          <w:p w:rsidR="00C77C84" w:rsidRPr="00C77C84" w:rsidRDefault="00C77C84" w:rsidP="00020EC7">
            <w:pPr>
              <w:keepLines/>
              <w:rPr>
                <w:noProof/>
                <w:sz w:val="16"/>
                <w:szCs w:val="16"/>
              </w:rPr>
            </w:pPr>
            <w:r w:rsidRPr="00C77C84">
              <w:rPr>
                <w:noProof/>
                <w:sz w:val="16"/>
                <w:szCs w:val="16"/>
              </w:rPr>
              <w:t>CartographicReprezentation : {</w:t>
            </w:r>
            <w:r>
              <w:rPr>
                <w:noProof/>
                <w:sz w:val="16"/>
                <w:szCs w:val="16"/>
              </w:rPr>
              <w:br/>
              <w:t xml:space="preserve">    </w:t>
            </w:r>
            <w:r w:rsidRPr="00C77C84">
              <w:rPr>
                <w:noProof/>
                <w:sz w:val="16"/>
                <w:szCs w:val="16"/>
              </w:rPr>
              <w:t>SourceFeatures : [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>{ FeatureClass:"z_voda_l_bc", ogc_id:70793, wkt_geom:"POLYGON((12.5880 49.8989</w:t>
            </w:r>
            <w:r>
              <w:rPr>
                <w:noProof/>
                <w:sz w:val="16"/>
                <w:szCs w:val="16"/>
              </w:rPr>
              <w:t>6</w:t>
            </w:r>
            <w:r w:rsidRPr="00C77C84">
              <w:rPr>
                <w:noProof/>
                <w:sz w:val="16"/>
                <w:szCs w:val="16"/>
              </w:rPr>
              <w:t>,</w:t>
            </w:r>
            <w:r>
              <w:rPr>
                <w:noProof/>
                <w:sz w:val="16"/>
                <w:szCs w:val="16"/>
              </w:rPr>
              <w:t>...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 xml:space="preserve">{ FeatureClass: "z_voda_p",   </w:t>
            </w:r>
            <w:r>
              <w:rPr>
                <w:noProof/>
                <w:sz w:val="16"/>
                <w:szCs w:val="16"/>
              </w:rPr>
              <w:t xml:space="preserve"> </w:t>
            </w:r>
            <w:r w:rsidRPr="00C77C84">
              <w:rPr>
                <w:noProof/>
                <w:sz w:val="16"/>
                <w:szCs w:val="16"/>
              </w:rPr>
              <w:t>ogc_id:75840, wkt_geom:"POLYGON((12.5881</w:t>
            </w:r>
            <w:r>
              <w:rPr>
                <w:noProof/>
                <w:sz w:val="16"/>
                <w:szCs w:val="16"/>
              </w:rPr>
              <w:t xml:space="preserve"> 4</w:t>
            </w:r>
            <w:r w:rsidRPr="00C77C84">
              <w:rPr>
                <w:noProof/>
                <w:sz w:val="16"/>
                <w:szCs w:val="16"/>
              </w:rPr>
              <w:t>9.89877</w:t>
            </w:r>
            <w:r>
              <w:rPr>
                <w:noProof/>
                <w:sz w:val="16"/>
                <w:szCs w:val="16"/>
              </w:rPr>
              <w:t>,...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 xml:space="preserve">{ FeatureClass: "z_voda_p",   </w:t>
            </w:r>
            <w:r>
              <w:rPr>
                <w:noProof/>
                <w:sz w:val="16"/>
                <w:szCs w:val="16"/>
              </w:rPr>
              <w:t xml:space="preserve"> </w:t>
            </w:r>
            <w:r w:rsidRPr="00C77C84">
              <w:rPr>
                <w:noProof/>
                <w:sz w:val="16"/>
                <w:szCs w:val="16"/>
              </w:rPr>
              <w:t>ogc_id:75840, wkt_geom:"POLYGON((12.5881 49.89864</w:t>
            </w:r>
            <w:r>
              <w:rPr>
                <w:noProof/>
                <w:sz w:val="16"/>
                <w:szCs w:val="16"/>
              </w:rPr>
              <w:t>,...</w:t>
            </w:r>
            <w:r>
              <w:rPr>
                <w:noProof/>
                <w:sz w:val="16"/>
                <w:szCs w:val="16"/>
              </w:rPr>
              <w:tab/>
            </w:r>
            <w:r>
              <w:rPr>
                <w:noProof/>
                <w:sz w:val="16"/>
                <w:szCs w:val="16"/>
              </w:rPr>
              <w:br/>
              <w:t xml:space="preserve">        ...</w:t>
            </w:r>
            <w:r>
              <w:rPr>
                <w:noProof/>
                <w:sz w:val="16"/>
                <w:szCs w:val="16"/>
              </w:rPr>
              <w:br/>
              <w:t xml:space="preserve">    </w:t>
            </w:r>
            <w:r w:rsidRPr="00C77C84">
              <w:rPr>
                <w:noProof/>
                <w:sz w:val="16"/>
                <w:szCs w:val="16"/>
              </w:rPr>
              <w:t>],</w:t>
            </w:r>
          </w:p>
          <w:p w:rsidR="00665E23" w:rsidRPr="00C77C84" w:rsidRDefault="00C77C84" w:rsidP="00020EC7">
            <w:pPr>
              <w:keepLines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t xml:space="preserve">    </w:t>
            </w:r>
            <w:r w:rsidRPr="00C77C84">
              <w:rPr>
                <w:noProof/>
                <w:sz w:val="16"/>
                <w:szCs w:val="16"/>
              </w:rPr>
              <w:t>TargetFeatures : [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>{ FeatureClass: "z_voda_p", znacka:3330000, wkt_geom:"POLYGON((12.5881</w:t>
            </w:r>
            <w:r>
              <w:rPr>
                <w:noProof/>
                <w:sz w:val="16"/>
                <w:szCs w:val="16"/>
              </w:rPr>
              <w:t xml:space="preserve"> 49.89877,...</w:t>
            </w:r>
            <w:r>
              <w:rPr>
                <w:noProof/>
                <w:sz w:val="16"/>
                <w:szCs w:val="16"/>
              </w:rPr>
              <w:br/>
              <w:t xml:space="preserve">        { </w:t>
            </w:r>
            <w:r w:rsidRPr="00C77C84">
              <w:rPr>
                <w:noProof/>
                <w:sz w:val="16"/>
                <w:szCs w:val="16"/>
              </w:rPr>
              <w:t>FeatureClass: "z_voda_p", znacka:3330000, wkt_geom:"POLYGON((12.5881</w:t>
            </w:r>
            <w:r>
              <w:rPr>
                <w:noProof/>
                <w:sz w:val="16"/>
                <w:szCs w:val="16"/>
              </w:rPr>
              <w:t xml:space="preserve"> 49.89864,...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>...</w:t>
            </w:r>
            <w:r>
              <w:rPr>
                <w:noProof/>
                <w:sz w:val="16"/>
                <w:szCs w:val="16"/>
              </w:rPr>
              <w:br/>
              <w:t xml:space="preserve">    </w:t>
            </w:r>
            <w:r w:rsidRPr="00C77C84">
              <w:rPr>
                <w:noProof/>
                <w:sz w:val="16"/>
                <w:szCs w:val="16"/>
              </w:rPr>
              <w:t>]</w:t>
            </w:r>
            <w:r>
              <w:rPr>
                <w:noProof/>
                <w:sz w:val="16"/>
                <w:szCs w:val="16"/>
              </w:rPr>
              <w:br/>
            </w:r>
            <w:r w:rsidRPr="00C77C84">
              <w:rPr>
                <w:noProof/>
                <w:sz w:val="16"/>
                <w:szCs w:val="16"/>
              </w:rPr>
              <w:t>}</w:t>
            </w:r>
            <w:r w:rsidRPr="00C77C84">
              <w:rPr>
                <w:noProof/>
                <w:sz w:val="16"/>
                <w:szCs w:val="16"/>
              </w:rPr>
              <w:tab/>
            </w:r>
            <w:r w:rsidRPr="00C77C84">
              <w:rPr>
                <w:noProof/>
                <w:sz w:val="16"/>
                <w:szCs w:val="16"/>
              </w:rPr>
              <w:tab/>
            </w:r>
          </w:p>
        </w:tc>
      </w:tr>
    </w:tbl>
    <w:p w:rsidR="0028202A" w:rsidRPr="00EA210B" w:rsidRDefault="0028202A" w:rsidP="00EE3895">
      <w:pPr>
        <w:spacing w:before="0"/>
        <w:jc w:val="center"/>
        <w:rPr>
          <w:sz w:val="16"/>
          <w:szCs w:val="16"/>
        </w:rPr>
      </w:pPr>
      <w:r w:rsidRPr="00EA210B">
        <w:rPr>
          <w:sz w:val="16"/>
          <w:szCs w:val="16"/>
        </w:rPr>
        <w:t xml:space="preserve">Obrázek </w:t>
      </w:r>
      <w:r w:rsidR="0028551B" w:rsidRPr="00EA210B">
        <w:rPr>
          <w:sz w:val="16"/>
          <w:szCs w:val="16"/>
        </w:rPr>
        <w:fldChar w:fldCharType="begin"/>
      </w:r>
      <w:r w:rsidRPr="00EA210B">
        <w:rPr>
          <w:sz w:val="16"/>
          <w:szCs w:val="16"/>
        </w:rPr>
        <w:instrText xml:space="preserve"> SEQ Figure \* ARABIC </w:instrText>
      </w:r>
      <w:r w:rsidR="0028551B" w:rsidRPr="00EA210B">
        <w:rPr>
          <w:sz w:val="16"/>
          <w:szCs w:val="16"/>
        </w:rPr>
        <w:fldChar w:fldCharType="separate"/>
      </w:r>
      <w:r w:rsidR="000766FE">
        <w:rPr>
          <w:noProof/>
          <w:sz w:val="16"/>
          <w:szCs w:val="16"/>
        </w:rPr>
        <w:t>9</w:t>
      </w:r>
      <w:r w:rsidR="0028551B" w:rsidRPr="00EA210B">
        <w:rPr>
          <w:sz w:val="16"/>
          <w:szCs w:val="16"/>
        </w:rPr>
        <w:fldChar w:fldCharType="end"/>
      </w:r>
      <w:r w:rsidRPr="00EA210B">
        <w:rPr>
          <w:sz w:val="16"/>
          <w:szCs w:val="16"/>
        </w:rPr>
        <w:t xml:space="preserve"> - </w:t>
      </w:r>
      <w:r w:rsidR="00EA210B" w:rsidRPr="00EA210B">
        <w:rPr>
          <w:sz w:val="16"/>
          <w:szCs w:val="16"/>
        </w:rPr>
        <w:t>Stálá kartografická reprezentace uložená v záznamu JSON</w:t>
      </w:r>
    </w:p>
    <w:p w:rsidR="0081613D" w:rsidRDefault="0081613D" w:rsidP="0081613D">
      <w:r>
        <w:t>Možnosti uložení takto heterogenní informace v jednom záznamu</w:t>
      </w:r>
      <w:r w:rsidR="00163DC6">
        <w:t xml:space="preserve"> jsou závislé na možnostech konkrétní databáze a sy</w:t>
      </w:r>
      <w:r w:rsidR="00D02AA3">
        <w:t>s</w:t>
      </w:r>
      <w:r w:rsidR="00163DC6">
        <w:t>tému, který s ní pracuje. Obecně je však vždy možné využít uložení v textové podobě.</w:t>
      </w:r>
    </w:p>
    <w:p w:rsidR="006A321A" w:rsidRDefault="006A321A" w:rsidP="0081613D">
      <w:r>
        <w:t xml:space="preserve">Takto uložené informace nazvěme </w:t>
      </w:r>
      <w:r w:rsidRPr="006A321A">
        <w:rPr>
          <w:u w:val="single"/>
        </w:rPr>
        <w:t>Databází stálých kartografických reprezentací druhé úrovně</w:t>
      </w:r>
      <w:r>
        <w:t>.</w:t>
      </w:r>
    </w:p>
    <w:p w:rsidR="00665E23" w:rsidRDefault="00443669" w:rsidP="00EA210B">
      <w:pPr>
        <w:pStyle w:val="Nadpis3"/>
      </w:pPr>
      <w:r>
        <w:t>Hybridní databáze</w:t>
      </w:r>
    </w:p>
    <w:p w:rsidR="00EA210B" w:rsidRDefault="00EA210B" w:rsidP="00EA210B">
      <w:r>
        <w:t xml:space="preserve">Jako nejvhodnější řešení se jeví </w:t>
      </w:r>
      <w:r w:rsidR="00B51766">
        <w:t xml:space="preserve">doplnění </w:t>
      </w:r>
      <w:r w:rsidR="006A321A" w:rsidRPr="009949EC">
        <w:rPr>
          <w:i/>
        </w:rPr>
        <w:t>Databáze</w:t>
      </w:r>
      <w:r w:rsidR="006A321A">
        <w:t xml:space="preserve"> kartografických reprezentací první </w:t>
      </w:r>
      <w:r w:rsidR="00B51766">
        <w:t>úrovně o úroveň druhou do jednoho celku</w:t>
      </w:r>
      <w:r w:rsidR="006A321A">
        <w:t>, kter</w:t>
      </w:r>
      <w:r w:rsidR="00B51766">
        <w:t>ý</w:t>
      </w:r>
      <w:r w:rsidR="006A321A">
        <w:t xml:space="preserve"> bychom mohli nazvat Hybridní databáz</w:t>
      </w:r>
      <w:r w:rsidR="00AB2BD7">
        <w:t>í</w:t>
      </w:r>
      <w:r w:rsidR="006A321A">
        <w:t xml:space="preserve"> kartografických reprezentací. Stálé reprezentace, reprezentují</w:t>
      </w:r>
      <w:r w:rsidR="00AB2BD7">
        <w:t>cí</w:t>
      </w:r>
      <w:r w:rsidR="006A321A">
        <w:t xml:space="preserve"> jeden nebo více prvků ve zdrojové databázi stejného typu</w:t>
      </w:r>
      <w:r w:rsidR="006A321A">
        <w:rPr>
          <w:rStyle w:val="Znakapoznpodarou"/>
        </w:rPr>
        <w:footnoteReference w:id="4"/>
      </w:r>
      <w:r w:rsidR="00B51766">
        <w:t xml:space="preserve"> a k</w:t>
      </w:r>
      <w:r w:rsidR="00FC0FA2">
        <w:t xml:space="preserve">teré jsou zobrazeny jedním nebo více prvky tohoto typu je vhodné ukládat pomocí </w:t>
      </w:r>
      <w:r w:rsidR="00D3284F">
        <w:t>Databáze vícenásobných reprezentací. Ostatní reprezentace pomocí Komplexní databáze stálých kartografických reprezentací.</w:t>
      </w:r>
    </w:p>
    <w:p w:rsidR="002B71F8" w:rsidRDefault="003E6D8A" w:rsidP="002B71F8">
      <w:pPr>
        <w:pStyle w:val="Nadpis2"/>
      </w:pPr>
      <w:r>
        <w:lastRenderedPageBreak/>
        <w:t>Metodika</w:t>
      </w:r>
      <w:r w:rsidR="002B71F8">
        <w:t xml:space="preserve"> sběru </w:t>
      </w:r>
      <w:r w:rsidR="00AB2BD7">
        <w:t xml:space="preserve">objektů do </w:t>
      </w:r>
      <w:r w:rsidR="00AB2BD7" w:rsidRPr="00AB2BD7">
        <w:rPr>
          <w:i/>
        </w:rPr>
        <w:t>D</w:t>
      </w:r>
      <w:r w:rsidR="002B71F8" w:rsidRPr="00AB2BD7">
        <w:rPr>
          <w:i/>
        </w:rPr>
        <w:t>atabáze</w:t>
      </w:r>
    </w:p>
    <w:p w:rsidR="00D05565" w:rsidRPr="00D05565" w:rsidRDefault="00D05565" w:rsidP="00D05565">
      <w:r>
        <w:t xml:space="preserve">Sběr a výstavba </w:t>
      </w:r>
      <w:r w:rsidRPr="009949EC">
        <w:rPr>
          <w:i/>
        </w:rPr>
        <w:t>Databáze</w:t>
      </w:r>
      <w:r>
        <w:t xml:space="preserve"> stálých kartografických zobrazení je klíčovou součástí celého </w:t>
      </w:r>
      <w:r w:rsidR="00755528">
        <w:t>systému automatické generali</w:t>
      </w:r>
      <w:r w:rsidR="00F83530">
        <w:t>z</w:t>
      </w:r>
      <w:r w:rsidR="00755528">
        <w:t>ace</w:t>
      </w:r>
      <w:r>
        <w:t>. Tak jako ve všech aspektech generalizace, je potřeba dbát na poměr mezi přidanou hodnotou a dodatečnými náklady.</w:t>
      </w:r>
    </w:p>
    <w:p w:rsidR="003E6D8A" w:rsidRDefault="003E6D8A" w:rsidP="00291D25">
      <w:pPr>
        <w:pStyle w:val="Nadpis3"/>
      </w:pPr>
      <w:r>
        <w:t>I</w:t>
      </w:r>
      <w:r w:rsidR="00291D25">
        <w:t>dentifikace</w:t>
      </w:r>
      <w:r>
        <w:t xml:space="preserve"> jednotlivých situací reprezentací</w:t>
      </w:r>
    </w:p>
    <w:p w:rsidR="00C30E38" w:rsidRPr="00C30E38" w:rsidRDefault="00C30E38" w:rsidP="00C30E38">
      <w:r>
        <w:t>Při identifikaci situací, které operátor zařadí do databáze by měl zachovávat následující charakteristiky</w:t>
      </w:r>
      <w:r w:rsidR="00AB2BD7">
        <w:t>:</w:t>
      </w:r>
    </w:p>
    <w:p w:rsidR="00C30E38" w:rsidRDefault="00C30E38" w:rsidP="00C30E38">
      <w:pPr>
        <w:pStyle w:val="Odstavecseseznamem"/>
        <w:numPr>
          <w:ilvl w:val="0"/>
          <w:numId w:val="8"/>
        </w:numPr>
      </w:pPr>
      <w:r>
        <w:t>objekt</w:t>
      </w:r>
      <w:r w:rsidR="00EE3DF7">
        <w:t>y</w:t>
      </w:r>
      <w:r>
        <w:t>, které situaci vytvářejí</w:t>
      </w:r>
      <w:r w:rsidR="00AB2BD7">
        <w:t>,</w:t>
      </w:r>
      <w:r w:rsidR="00EE3DF7">
        <w:t xml:space="preserve"> mají trvalý charakter</w:t>
      </w:r>
      <w:r w:rsidR="00AB2BD7" w:rsidRPr="00755528">
        <w:t>;</w:t>
      </w:r>
    </w:p>
    <w:p w:rsidR="00C30E38" w:rsidRDefault="00C30E38" w:rsidP="00C30E38">
      <w:pPr>
        <w:pStyle w:val="Odstavecseseznamem"/>
        <w:numPr>
          <w:ilvl w:val="0"/>
          <w:numId w:val="8"/>
        </w:numPr>
      </w:pPr>
      <w:r>
        <w:t xml:space="preserve">objekty mají charakteristickou kresbu či uspořádání objektů, která je snadno rozpoznatelná pro kartografa, ale obtížně </w:t>
      </w:r>
      <w:proofErr w:type="spellStart"/>
      <w:r>
        <w:t>generalizovatelná</w:t>
      </w:r>
      <w:proofErr w:type="spellEnd"/>
      <w:r>
        <w:t xml:space="preserve"> pomocí automatických postupů</w:t>
      </w:r>
      <w:r w:rsidR="00AB2BD7" w:rsidRPr="00755528">
        <w:t>;</w:t>
      </w:r>
    </w:p>
    <w:p w:rsidR="00EE3DF7" w:rsidRDefault="00C30E38" w:rsidP="00EE3DF7">
      <w:pPr>
        <w:pStyle w:val="Odstavecseseznamem"/>
        <w:numPr>
          <w:ilvl w:val="0"/>
          <w:numId w:val="8"/>
        </w:numPr>
      </w:pPr>
      <w:r>
        <w:t>objekty vyvářejí charakteristickou strukturu, kterou je i po generalizaci vhodné zachovat či dokonce zvýraznit</w:t>
      </w:r>
      <w:r w:rsidR="00AB2BD7">
        <w:t>.</w:t>
      </w:r>
    </w:p>
    <w:p w:rsidR="00EE3DF7" w:rsidRDefault="00EE3DF7" w:rsidP="00EE3DF7">
      <w:pPr>
        <w:pStyle w:val="Nadpis3"/>
      </w:pPr>
      <w:r>
        <w:t>Vyhledání kandidátů na zařazení do databáze</w:t>
      </w:r>
    </w:p>
    <w:p w:rsidR="002B1248" w:rsidRDefault="00EE3DF7" w:rsidP="00EE3DF7">
      <w:r>
        <w:t xml:space="preserve">Kandidáty na zařazení do databáze je </w:t>
      </w:r>
      <w:r w:rsidR="002B1248">
        <w:t xml:space="preserve">velice efektivní </w:t>
      </w:r>
      <w:r>
        <w:t xml:space="preserve">vybírat pomocí jednoduchých databázových či </w:t>
      </w:r>
      <w:proofErr w:type="spellStart"/>
      <w:r>
        <w:t>geoprostorových</w:t>
      </w:r>
      <w:proofErr w:type="spellEnd"/>
      <w:r>
        <w:t xml:space="preserve"> dotazů</w:t>
      </w:r>
      <w:r w:rsidR="00AB2BD7">
        <w:t>,</w:t>
      </w:r>
      <w:r>
        <w:t xml:space="preserve"> a </w:t>
      </w:r>
      <w:r w:rsidR="002B1248">
        <w:t xml:space="preserve">teprve </w:t>
      </w:r>
      <w:r>
        <w:t>poté vyhodnotit kartografem.</w:t>
      </w:r>
    </w:p>
    <w:p w:rsidR="00EE3DF7" w:rsidRDefault="00EE3DF7" w:rsidP="00EE3DF7">
      <w:r>
        <w:t>Křížové cesty, shluky komínů, rybníků a jiných objektů charakteristického tvaru je možné vyhledat pomocí jednoduchého vyhledání shluků.</w:t>
      </w:r>
    </w:p>
    <w:p w:rsidR="002B1248" w:rsidRDefault="002B1248" w:rsidP="001A2FCC">
      <w:pPr>
        <w:keepNext/>
      </w:pPr>
      <w:r>
        <w:t xml:space="preserve">Obrázek </w:t>
      </w:r>
      <w:r w:rsidR="001A2FCC">
        <w:t>níže</w:t>
      </w:r>
      <w:r>
        <w:t xml:space="preserve"> demonstruje, že </w:t>
      </w:r>
      <w:r w:rsidR="002C6130">
        <w:t xml:space="preserve">například </w:t>
      </w:r>
      <w:r>
        <w:t xml:space="preserve">i poměrně jednoduchou analýzou pravoúhlosti je možné spolehlivě vyhledat kandidáty </w:t>
      </w:r>
      <w:r w:rsidR="00AC2A7A">
        <w:t xml:space="preserve">na </w:t>
      </w:r>
      <w:r>
        <w:t>nepravidelné budovy.</w:t>
      </w:r>
    </w:p>
    <w:p w:rsidR="002B1248" w:rsidRPr="00EE3DF7" w:rsidRDefault="001A2FCC" w:rsidP="00EE3895">
      <w:pPr>
        <w:spacing w:before="240" w:after="0"/>
        <w:jc w:val="center"/>
      </w:pPr>
      <w:r>
        <w:rPr>
          <w:noProof/>
          <w:lang w:val="en-US" w:eastAsia="en-US"/>
        </w:rPr>
        <w:drawing>
          <wp:inline distT="0" distB="0" distL="0" distR="0">
            <wp:extent cx="5732145" cy="1913255"/>
            <wp:effectExtent l="57150" t="19050" r="116205" b="67945"/>
            <wp:docPr id="20" name="Obrázek 19" descr="Nud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dle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1913255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2C6130" w:rsidRPr="002C6130" w:rsidRDefault="002C6130" w:rsidP="00EE3895">
      <w:pPr>
        <w:spacing w:before="0"/>
        <w:jc w:val="center"/>
        <w:rPr>
          <w:sz w:val="16"/>
          <w:szCs w:val="16"/>
        </w:rPr>
      </w:pPr>
      <w:r w:rsidRPr="002C6130">
        <w:rPr>
          <w:sz w:val="16"/>
          <w:szCs w:val="16"/>
        </w:rPr>
        <w:t xml:space="preserve">Obrázek </w:t>
      </w:r>
      <w:r w:rsidR="0028551B" w:rsidRPr="002C6130">
        <w:rPr>
          <w:sz w:val="16"/>
          <w:szCs w:val="16"/>
        </w:rPr>
        <w:fldChar w:fldCharType="begin"/>
      </w:r>
      <w:r w:rsidRPr="002C6130">
        <w:rPr>
          <w:sz w:val="16"/>
          <w:szCs w:val="16"/>
        </w:rPr>
        <w:instrText xml:space="preserve"> SEQ Figure \* ARABIC </w:instrText>
      </w:r>
      <w:r w:rsidR="0028551B" w:rsidRPr="002C6130">
        <w:rPr>
          <w:sz w:val="16"/>
          <w:szCs w:val="16"/>
        </w:rPr>
        <w:fldChar w:fldCharType="separate"/>
      </w:r>
      <w:r w:rsidR="000766FE">
        <w:rPr>
          <w:noProof/>
          <w:sz w:val="16"/>
          <w:szCs w:val="16"/>
        </w:rPr>
        <w:t>10</w:t>
      </w:r>
      <w:r w:rsidR="0028551B" w:rsidRPr="002C6130">
        <w:rPr>
          <w:sz w:val="16"/>
          <w:szCs w:val="16"/>
        </w:rPr>
        <w:fldChar w:fldCharType="end"/>
      </w:r>
      <w:r w:rsidRPr="002C6130">
        <w:rPr>
          <w:sz w:val="16"/>
          <w:szCs w:val="16"/>
        </w:rPr>
        <w:t xml:space="preserve"> - vyhledání nepravidelných budov</w:t>
      </w:r>
    </w:p>
    <w:p w:rsidR="002C6130" w:rsidRPr="002C6130" w:rsidRDefault="002C6130" w:rsidP="002C6130">
      <w:r w:rsidRPr="002C6130">
        <w:t>Obdobně u některých bodových objektů je možné vyhledat kandidáty na zařazení do databáze pomocí jednoduché analýzy shluků.</w:t>
      </w:r>
    </w:p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43"/>
      </w:tblGrid>
      <w:tr w:rsidR="002C6130" w:rsidTr="002C6130">
        <w:trPr>
          <w:jc w:val="center"/>
        </w:trPr>
        <w:tc>
          <w:tcPr>
            <w:tcW w:w="9243" w:type="dxa"/>
          </w:tcPr>
          <w:p w:rsidR="002C6130" w:rsidRDefault="009949EC" w:rsidP="009949EC">
            <w:pPr>
              <w:pStyle w:val="Nadpis3"/>
              <w:jc w:val="center"/>
              <w:outlineLvl w:val="2"/>
            </w:pPr>
            <w:r>
              <w:rPr>
                <w:noProof/>
                <w:lang w:val="en-US" w:eastAsia="en-US"/>
              </w:rPr>
              <w:drawing>
                <wp:inline distT="0" distB="0" distL="0" distR="0">
                  <wp:extent cx="1042416" cy="1563624"/>
                  <wp:effectExtent l="57150" t="19050" r="119634" b="74676"/>
                  <wp:docPr id="10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416" cy="1563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n-US" w:eastAsia="en-US"/>
              </w:rPr>
              <w:drawing>
                <wp:inline distT="0" distB="0" distL="0" distR="0">
                  <wp:extent cx="1042416" cy="1563624"/>
                  <wp:effectExtent l="57150" t="19050" r="119634" b="74676"/>
                  <wp:docPr id="11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416" cy="1563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b w:val="0"/>
                <w:bCs w:val="0"/>
                <w:noProof/>
                <w:lang w:val="en-US" w:eastAsia="en-US"/>
              </w:rPr>
              <w:drawing>
                <wp:inline distT="0" distB="0" distL="0" distR="0">
                  <wp:extent cx="1042416" cy="1563624"/>
                  <wp:effectExtent l="57150" t="19050" r="119634" b="74676"/>
                  <wp:docPr id="14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416" cy="1563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2C6130">
              <w:t xml:space="preserve"> </w:t>
            </w:r>
            <w:r w:rsidR="002C6130">
              <w:rPr>
                <w:b w:val="0"/>
                <w:bCs w:val="0"/>
              </w:rPr>
              <w:t xml:space="preserve"> </w:t>
            </w:r>
            <w:r>
              <w:rPr>
                <w:noProof/>
                <w:lang w:val="en-US" w:eastAsia="en-US"/>
              </w:rPr>
              <w:drawing>
                <wp:inline distT="0" distB="0" distL="0" distR="0">
                  <wp:extent cx="1042416" cy="1563624"/>
                  <wp:effectExtent l="57150" t="19050" r="119634" b="74676"/>
                  <wp:docPr id="23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416" cy="1563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C6130" w:rsidRPr="00AB2BD7" w:rsidRDefault="000766FE" w:rsidP="000766FE">
      <w:pPr>
        <w:spacing w:before="0"/>
        <w:jc w:val="center"/>
        <w:rPr>
          <w:sz w:val="16"/>
          <w:szCs w:val="16"/>
        </w:rPr>
      </w:pPr>
      <w:r w:rsidRPr="00AB2BD7">
        <w:rPr>
          <w:sz w:val="16"/>
          <w:szCs w:val="16"/>
        </w:rPr>
        <w:t xml:space="preserve">Obrázek </w:t>
      </w:r>
      <w:r w:rsidR="0028551B" w:rsidRPr="00AB2BD7">
        <w:rPr>
          <w:sz w:val="16"/>
          <w:szCs w:val="16"/>
        </w:rPr>
        <w:fldChar w:fldCharType="begin"/>
      </w:r>
      <w:r w:rsidR="00BC0A9B" w:rsidRPr="00AB2BD7">
        <w:rPr>
          <w:sz w:val="16"/>
          <w:szCs w:val="16"/>
        </w:rPr>
        <w:instrText xml:space="preserve"> SEQ Figure \* ARABIC </w:instrText>
      </w:r>
      <w:r w:rsidR="0028551B" w:rsidRPr="00AB2BD7">
        <w:rPr>
          <w:sz w:val="16"/>
          <w:szCs w:val="16"/>
        </w:rPr>
        <w:fldChar w:fldCharType="separate"/>
      </w:r>
      <w:r w:rsidRPr="00AB2BD7">
        <w:rPr>
          <w:noProof/>
          <w:sz w:val="16"/>
          <w:szCs w:val="16"/>
        </w:rPr>
        <w:t>11</w:t>
      </w:r>
      <w:r w:rsidR="0028551B" w:rsidRPr="00AB2BD7">
        <w:rPr>
          <w:sz w:val="16"/>
          <w:szCs w:val="16"/>
        </w:rPr>
        <w:fldChar w:fldCharType="end"/>
      </w:r>
      <w:r w:rsidRPr="00AB2BD7">
        <w:rPr>
          <w:sz w:val="16"/>
          <w:szCs w:val="16"/>
        </w:rPr>
        <w:t xml:space="preserve"> - Generalizované shluky bodových objektů</w:t>
      </w:r>
    </w:p>
    <w:p w:rsidR="00291D25" w:rsidRDefault="003E6D8A" w:rsidP="00291D25">
      <w:pPr>
        <w:pStyle w:val="Nadpis3"/>
      </w:pPr>
      <w:r>
        <w:lastRenderedPageBreak/>
        <w:t xml:space="preserve">Postup </w:t>
      </w:r>
      <w:r w:rsidR="00291D25">
        <w:t>zařazení do databáze</w:t>
      </w:r>
    </w:p>
    <w:p w:rsidR="003E6D8A" w:rsidRDefault="003E6D8A" w:rsidP="003E6D8A">
      <w:r>
        <w:t>Toto je klíčový krok, kdy je potřeba identifikovat prvky, při jejichž změně vynutíme revizi konkrétního zobrazení a zároveň jim odpovídající kartografickou reprezentaci. Postup musí být dostatečně jednoduchý a přívětivý, aby ho bylo možné efektivně využívat.</w:t>
      </w:r>
    </w:p>
    <w:p w:rsidR="003E6D8A" w:rsidRDefault="003E6D8A" w:rsidP="003E6D8A">
      <w:r>
        <w:t>Jako základ uvažujme o následujícím postupu</w:t>
      </w:r>
      <w:r w:rsidR="00AB2BD7">
        <w:t>:</w:t>
      </w:r>
    </w:p>
    <w:p w:rsidR="003E6D8A" w:rsidRDefault="003E6D8A" w:rsidP="003E6D8A">
      <w:pPr>
        <w:pStyle w:val="Odstavecseseznamem"/>
        <w:numPr>
          <w:ilvl w:val="0"/>
          <w:numId w:val="12"/>
        </w:numPr>
      </w:pPr>
      <w:r>
        <w:t>Otevři novou situaci</w:t>
      </w:r>
      <w:r w:rsidR="00AB2BD7">
        <w:t>.</w:t>
      </w:r>
    </w:p>
    <w:p w:rsidR="003E6D8A" w:rsidRDefault="003E6D8A" w:rsidP="00291D25">
      <w:pPr>
        <w:pStyle w:val="Odstavecseseznamem"/>
        <w:numPr>
          <w:ilvl w:val="0"/>
          <w:numId w:val="12"/>
        </w:numPr>
      </w:pPr>
      <w:r>
        <w:t>Přidej prvek</w:t>
      </w:r>
      <w:r w:rsidR="00AB2BD7">
        <w:t>/</w:t>
      </w:r>
      <w:proofErr w:type="spellStart"/>
      <w:r>
        <w:t>ky</w:t>
      </w:r>
      <w:proofErr w:type="spellEnd"/>
      <w:r>
        <w:t xml:space="preserve">, při jejichž změně je nutné revidovat </w:t>
      </w:r>
      <w:proofErr w:type="spellStart"/>
      <w:r>
        <w:t>situac</w:t>
      </w:r>
      <w:proofErr w:type="spellEnd"/>
      <w:r w:rsidR="00AB2BD7">
        <w:t>.</w:t>
      </w:r>
    </w:p>
    <w:p w:rsidR="003E6D8A" w:rsidRDefault="003E6D8A" w:rsidP="003E6D8A">
      <w:pPr>
        <w:pStyle w:val="Odstavecseseznamem"/>
        <w:numPr>
          <w:ilvl w:val="0"/>
          <w:numId w:val="12"/>
        </w:numPr>
      </w:pPr>
      <w:r>
        <w:t xml:space="preserve">Přidej </w:t>
      </w:r>
      <w:r w:rsidR="00AB2BD7">
        <w:t>prvek/</w:t>
      </w:r>
      <w:proofErr w:type="spellStart"/>
      <w:r w:rsidR="00AB2BD7">
        <w:t>ky</w:t>
      </w:r>
      <w:proofErr w:type="spellEnd"/>
      <w:r>
        <w:t xml:space="preserve"> do seznamu reprezentují  situace</w:t>
      </w:r>
      <w:r w:rsidR="00AB2BD7">
        <w:t>.</w:t>
      </w:r>
    </w:p>
    <w:p w:rsidR="003E6D8A" w:rsidRDefault="003E6D8A" w:rsidP="00291D25">
      <w:pPr>
        <w:pStyle w:val="Odstavecseseznamem"/>
        <w:numPr>
          <w:ilvl w:val="0"/>
          <w:numId w:val="12"/>
        </w:numPr>
      </w:pPr>
      <w:r>
        <w:t xml:space="preserve">Odeber zdrojový </w:t>
      </w:r>
      <w:r w:rsidR="00AB2BD7">
        <w:t>prvek/</w:t>
      </w:r>
      <w:proofErr w:type="spellStart"/>
      <w:r w:rsidR="00AB2BD7">
        <w:t>ky</w:t>
      </w:r>
      <w:proofErr w:type="spellEnd"/>
      <w:r>
        <w:t xml:space="preserve"> ze seznamu reprezentací</w:t>
      </w:r>
      <w:r w:rsidR="00AB2BD7">
        <w:t>.</w:t>
      </w:r>
    </w:p>
    <w:p w:rsidR="003E6D8A" w:rsidRDefault="003E6D8A" w:rsidP="00291D25">
      <w:pPr>
        <w:pStyle w:val="Odstavecseseznamem"/>
        <w:numPr>
          <w:ilvl w:val="0"/>
          <w:numId w:val="12"/>
        </w:numPr>
      </w:pPr>
      <w:r>
        <w:t>Ulož situaci</w:t>
      </w:r>
      <w:r w:rsidR="00AB2BD7">
        <w:t>.</w:t>
      </w:r>
    </w:p>
    <w:p w:rsidR="00536CEA" w:rsidRDefault="00536CEA" w:rsidP="00536CEA">
      <w:pPr>
        <w:pStyle w:val="Nadpis2"/>
      </w:pPr>
      <w:r>
        <w:t xml:space="preserve">Způsob využití </w:t>
      </w:r>
      <w:r w:rsidR="00AB2BD7" w:rsidRPr="00AB2BD7">
        <w:rPr>
          <w:i/>
        </w:rPr>
        <w:t>D</w:t>
      </w:r>
      <w:r w:rsidRPr="00AB2BD7">
        <w:rPr>
          <w:i/>
        </w:rPr>
        <w:t>atabáze</w:t>
      </w:r>
    </w:p>
    <w:p w:rsidR="005F37E5" w:rsidRDefault="005F37E5" w:rsidP="005F37E5">
      <w:r w:rsidRPr="009949EC">
        <w:rPr>
          <w:i/>
        </w:rPr>
        <w:t>Databázi</w:t>
      </w:r>
      <w:r>
        <w:t xml:space="preserve"> využijeme </w:t>
      </w:r>
      <w:r w:rsidR="00AC2780">
        <w:t>poměrně jednoduchým způsobem</w:t>
      </w:r>
      <w:r w:rsidR="00F405DB">
        <w:t>,</w:t>
      </w:r>
      <w:r w:rsidR="00AC2780">
        <w:t xml:space="preserve"> </w:t>
      </w:r>
      <w:r w:rsidR="00ED4F22">
        <w:t>pro záznamy, ve kterých se nezměnila zdrojová data</w:t>
      </w:r>
      <w:r w:rsidR="00F405DB">
        <w:t>,</w:t>
      </w:r>
      <w:r w:rsidR="00ED4F22">
        <w:t xml:space="preserve"> přímo využijeme výslednou reprezentaci. Pro ostatní záznamy vyvoláme zásah kartografa, vyhodnocení změny a aktualizaci reprezentace.</w:t>
      </w:r>
    </w:p>
    <w:p w:rsidR="0080023E" w:rsidRDefault="0080023E" w:rsidP="0080023E">
      <w:r>
        <w:t xml:space="preserve">Pro každý záznam z Databáze stálých kartografických zobrazení </w:t>
      </w:r>
      <w:r w:rsidR="00ED4F22">
        <w:t>tedy záznam použijeme, pokud jsme kladně vyhodnotili všechny tyto otázky:</w:t>
      </w:r>
    </w:p>
    <w:p w:rsidR="0080023E" w:rsidRDefault="00ED4F22" w:rsidP="00ED4F22">
      <w:pPr>
        <w:pStyle w:val="Odstavecseseznamem"/>
        <w:numPr>
          <w:ilvl w:val="0"/>
          <w:numId w:val="11"/>
        </w:numPr>
      </w:pPr>
      <w:r>
        <w:t>Existují v aktualizované databázi všechny zdrojové prvky reprezentace?</w:t>
      </w:r>
    </w:p>
    <w:p w:rsidR="00ED4F22" w:rsidRDefault="00ED4F22" w:rsidP="0080023E">
      <w:pPr>
        <w:pStyle w:val="Odstavecseseznamem"/>
        <w:numPr>
          <w:ilvl w:val="0"/>
          <w:numId w:val="11"/>
        </w:numPr>
      </w:pPr>
      <w:r>
        <w:t xml:space="preserve">Jsou </w:t>
      </w:r>
      <w:r w:rsidR="0080023E">
        <w:t xml:space="preserve">atributy </w:t>
      </w:r>
      <w:r>
        <w:t xml:space="preserve">zdrojových </w:t>
      </w:r>
      <w:r w:rsidR="0080023E">
        <w:t>prvků potřebné pro zobrazení</w:t>
      </w:r>
      <w:r>
        <w:t xml:space="preserve"> shodné?</w:t>
      </w:r>
    </w:p>
    <w:p w:rsidR="00ED4F22" w:rsidRDefault="00ED4F22" w:rsidP="0080023E">
      <w:pPr>
        <w:pStyle w:val="Odstavecseseznamem"/>
        <w:numPr>
          <w:ilvl w:val="0"/>
          <w:numId w:val="11"/>
        </w:numPr>
      </w:pPr>
      <w:r>
        <w:t>Jsou t</w:t>
      </w:r>
      <w:r w:rsidR="0080023E">
        <w:t>yp</w:t>
      </w:r>
      <w:r>
        <w:t>y</w:t>
      </w:r>
      <w:r w:rsidR="0080023E">
        <w:t xml:space="preserve"> geometri</w:t>
      </w:r>
      <w:r w:rsidR="00F405DB">
        <w:t>í</w:t>
      </w:r>
      <w:r>
        <w:t xml:space="preserve"> zdrojových prvků shodné?</w:t>
      </w:r>
    </w:p>
    <w:p w:rsidR="00B42264" w:rsidRDefault="00ED4F22" w:rsidP="00B42264">
      <w:pPr>
        <w:pStyle w:val="Odstavecseseznamem"/>
        <w:numPr>
          <w:ilvl w:val="0"/>
          <w:numId w:val="11"/>
        </w:numPr>
      </w:pPr>
      <w:r>
        <w:t>Je geometrie</w:t>
      </w:r>
      <w:r w:rsidR="0080023E">
        <w:t xml:space="preserve"> shodná</w:t>
      </w:r>
      <w:r>
        <w:t xml:space="preserve"> v mezích míry přesnosti?</w:t>
      </w:r>
    </w:p>
    <w:p w:rsidR="00D05565" w:rsidRPr="00B42264" w:rsidRDefault="00D05565" w:rsidP="00B42264">
      <w:pPr>
        <w:pStyle w:val="Odstavecseseznamem"/>
        <w:numPr>
          <w:ilvl w:val="0"/>
          <w:numId w:val="11"/>
        </w:numPr>
      </w:pPr>
      <w:r>
        <w:t>Nepřibyl do prostoru zdrojových prvků nový prvek, který má vliv na kresbu?</w:t>
      </w:r>
    </w:p>
    <w:sectPr w:rsidR="00D05565" w:rsidRPr="00B42264" w:rsidSect="001726C0">
      <w:headerReference w:type="default" r:id="rId34"/>
      <w:footerReference w:type="default" r:id="rId35"/>
      <w:pgSz w:w="11907" w:h="16839" w:code="9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024C" w:rsidRDefault="00F0024C" w:rsidP="005F569A">
      <w:r>
        <w:separator/>
      </w:r>
    </w:p>
  </w:endnote>
  <w:endnote w:type="continuationSeparator" w:id="0">
    <w:p w:rsidR="00F0024C" w:rsidRDefault="00F0024C" w:rsidP="005F56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33688"/>
      <w:docPartObj>
        <w:docPartGallery w:val="Page Numbers (Bottom of Page)"/>
        <w:docPartUnique/>
      </w:docPartObj>
    </w:sdtPr>
    <w:sdtContent>
      <w:p w:rsidR="00C400AC" w:rsidRDefault="0028551B">
        <w:pPr>
          <w:pStyle w:val="Zpat"/>
          <w:jc w:val="center"/>
        </w:pP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143704"/>
      <w:docPartObj>
        <w:docPartGallery w:val="Page Numbers (Bottom of Page)"/>
        <w:docPartUnique/>
      </w:docPartObj>
    </w:sdtPr>
    <w:sdtContent>
      <w:p w:rsidR="001726C0" w:rsidRDefault="0028551B">
        <w:pPr>
          <w:pStyle w:val="Zpat"/>
          <w:jc w:val="center"/>
        </w:pPr>
        <w:fldSimple w:instr=" PAGE   \* MERGEFORMAT ">
          <w:r w:rsidR="00D44959">
            <w:rPr>
              <w:noProof/>
            </w:rPr>
            <w:t>3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024C" w:rsidRDefault="00F0024C" w:rsidP="005F569A">
      <w:r>
        <w:separator/>
      </w:r>
    </w:p>
  </w:footnote>
  <w:footnote w:type="continuationSeparator" w:id="0">
    <w:p w:rsidR="00F0024C" w:rsidRDefault="00F0024C" w:rsidP="005F569A">
      <w:r>
        <w:continuationSeparator/>
      </w:r>
    </w:p>
  </w:footnote>
  <w:footnote w:id="1">
    <w:p w:rsidR="00C945A8" w:rsidRPr="00C945A8" w:rsidRDefault="00C945A8">
      <w:pPr>
        <w:pStyle w:val="Textpoznpodarou"/>
        <w:rPr>
          <w:sz w:val="16"/>
          <w:szCs w:val="16"/>
        </w:rPr>
      </w:pPr>
      <w:r w:rsidRPr="00C945A8">
        <w:rPr>
          <w:rStyle w:val="Znakapoznpodarou"/>
          <w:sz w:val="16"/>
          <w:szCs w:val="16"/>
        </w:rPr>
        <w:footnoteRef/>
      </w:r>
      <w:r w:rsidRPr="00C945A8">
        <w:rPr>
          <w:sz w:val="16"/>
          <w:szCs w:val="16"/>
        </w:rPr>
        <w:t xml:space="preserve"> Stálé kartografické zobrazení</w:t>
      </w:r>
    </w:p>
  </w:footnote>
  <w:footnote w:id="2">
    <w:p w:rsidR="00C400AC" w:rsidRDefault="00C400AC" w:rsidP="000A7D52">
      <w:pPr>
        <w:pStyle w:val="Textpoznpodarou"/>
      </w:pPr>
      <w:r>
        <w:rPr>
          <w:rStyle w:val="Znakapoznpodarou"/>
        </w:rPr>
        <w:footnoteRef/>
      </w:r>
      <w:r>
        <w:t xml:space="preserve"> Multiple </w:t>
      </w:r>
      <w:proofErr w:type="spellStart"/>
      <w:r>
        <w:t>repesentation</w:t>
      </w:r>
      <w:proofErr w:type="spellEnd"/>
      <w:r>
        <w:t xml:space="preserve"> </w:t>
      </w:r>
      <w:proofErr w:type="spellStart"/>
      <w:r>
        <w:t>database</w:t>
      </w:r>
      <w:proofErr w:type="spellEnd"/>
    </w:p>
  </w:footnote>
  <w:footnote w:id="3">
    <w:p w:rsidR="00C400AC" w:rsidRPr="006A321A" w:rsidRDefault="00C400AC">
      <w:pPr>
        <w:pStyle w:val="Textpoznpodarou"/>
        <w:rPr>
          <w:sz w:val="16"/>
          <w:szCs w:val="16"/>
        </w:rPr>
      </w:pPr>
      <w:r w:rsidRPr="006A321A">
        <w:rPr>
          <w:rStyle w:val="Znakapoznpodarou"/>
          <w:sz w:val="16"/>
          <w:szCs w:val="16"/>
        </w:rPr>
        <w:footnoteRef/>
      </w:r>
      <w:r w:rsidRPr="006A321A">
        <w:rPr>
          <w:sz w:val="16"/>
          <w:szCs w:val="16"/>
        </w:rPr>
        <w:t xml:space="preserve"> prvek stál</w:t>
      </w:r>
      <w:r w:rsidR="00D02AA3">
        <w:rPr>
          <w:sz w:val="16"/>
          <w:szCs w:val="16"/>
        </w:rPr>
        <w:t>é</w:t>
      </w:r>
      <w:r w:rsidRPr="006A321A">
        <w:rPr>
          <w:sz w:val="16"/>
          <w:szCs w:val="16"/>
        </w:rPr>
        <w:t xml:space="preserve"> kartografické reprezentace</w:t>
      </w:r>
    </w:p>
  </w:footnote>
  <w:footnote w:id="4">
    <w:p w:rsidR="00C400AC" w:rsidRDefault="00C400AC">
      <w:pPr>
        <w:pStyle w:val="Textpoznpodarou"/>
      </w:pPr>
      <w:r w:rsidRPr="006A321A">
        <w:rPr>
          <w:rStyle w:val="Znakapoznpodarou"/>
          <w:sz w:val="16"/>
          <w:szCs w:val="16"/>
        </w:rPr>
        <w:footnoteRef/>
      </w:r>
      <w:r w:rsidRPr="006A321A">
        <w:rPr>
          <w:sz w:val="16"/>
          <w:szCs w:val="16"/>
        </w:rPr>
        <w:t xml:space="preserve"> stejný </w:t>
      </w:r>
      <w:r>
        <w:rPr>
          <w:sz w:val="16"/>
          <w:szCs w:val="16"/>
        </w:rPr>
        <w:t xml:space="preserve">typ </w:t>
      </w:r>
      <w:r w:rsidRPr="006A321A">
        <w:rPr>
          <w:sz w:val="16"/>
          <w:szCs w:val="16"/>
        </w:rPr>
        <w:t>Feature</w:t>
      </w:r>
      <w:r>
        <w:rPr>
          <w:sz w:val="16"/>
          <w:szCs w:val="16"/>
        </w:rPr>
        <w:t xml:space="preserve"> </w:t>
      </w:r>
      <w:proofErr w:type="spellStart"/>
      <w:r w:rsidRPr="006A321A">
        <w:rPr>
          <w:sz w:val="16"/>
          <w:szCs w:val="16"/>
        </w:rPr>
        <w:t>Class</w:t>
      </w:r>
      <w:proofErr w:type="spellEnd"/>
      <w:r w:rsidRPr="006A321A">
        <w:rPr>
          <w:sz w:val="16"/>
          <w:szCs w:val="16"/>
        </w:rPr>
        <w:t xml:space="preserve"> </w:t>
      </w:r>
      <w:r>
        <w:rPr>
          <w:sz w:val="16"/>
          <w:szCs w:val="16"/>
        </w:rPr>
        <w:t>z hlediska GIS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45A8" w:rsidRDefault="00C945A8" w:rsidP="00C945A8">
    <w:pPr>
      <w:pStyle w:val="Zhlav"/>
    </w:pPr>
  </w:p>
  <w:p w:rsidR="00C945A8" w:rsidRDefault="00C945A8" w:rsidP="00C945A8">
    <w:pPr>
      <w:pStyle w:val="Zhlav"/>
    </w:pPr>
  </w:p>
  <w:p w:rsidR="00C400AC" w:rsidRPr="00C945A8" w:rsidRDefault="00C400AC" w:rsidP="00C945A8">
    <w:pPr>
      <w:pStyle w:val="Zhlav"/>
      <w:rPr>
        <w:szCs w:val="16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45A8" w:rsidRPr="004559BE" w:rsidRDefault="00C945A8" w:rsidP="00C945A8">
    <w:pPr>
      <w:pStyle w:val="normal"/>
      <w:spacing w:before="100" w:after="100" w:line="240" w:lineRule="auto"/>
      <w:ind w:left="720"/>
      <w:jc w:val="right"/>
      <w:rPr>
        <w:sz w:val="16"/>
        <w:szCs w:val="16"/>
      </w:rPr>
    </w:pPr>
    <w:r>
      <w:tab/>
    </w:r>
    <w:r>
      <w:tab/>
    </w:r>
    <w:r w:rsidRPr="004559BE">
      <w:rPr>
        <w:sz w:val="16"/>
        <w:szCs w:val="16"/>
      </w:rPr>
      <w:t>TB04CUZK001 N</w:t>
    </w:r>
    <w:r w:rsidRPr="00DF5533">
      <w:rPr>
        <w:sz w:val="16"/>
        <w:szCs w:val="16"/>
        <w:vertAlign w:val="subscript"/>
      </w:rPr>
      <w:t>met</w:t>
    </w:r>
    <w:r w:rsidRPr="004559BE">
      <w:rPr>
        <w:sz w:val="16"/>
        <w:szCs w:val="16"/>
      </w:rPr>
      <w:t>2</w:t>
    </w:r>
    <w:r w:rsidRPr="004559BE">
      <w:rPr>
        <w:sz w:val="16"/>
        <w:szCs w:val="16"/>
      </w:rPr>
      <w:br/>
    </w:r>
    <w:r w:rsidRPr="004559BE">
      <w:rPr>
        <w:sz w:val="16"/>
        <w:szCs w:val="16"/>
      </w:rPr>
      <w:tab/>
    </w:r>
    <w:r w:rsidRPr="004559BE">
      <w:rPr>
        <w:sz w:val="16"/>
        <w:szCs w:val="16"/>
      </w:rPr>
      <w:tab/>
      <w:t>Příloha č.</w:t>
    </w:r>
    <w:r>
      <w:rPr>
        <w:sz w:val="16"/>
        <w:szCs w:val="16"/>
      </w:rPr>
      <w:t xml:space="preserve"> 6</w:t>
    </w:r>
    <w:r w:rsidRPr="004559BE">
      <w:rPr>
        <w:sz w:val="16"/>
        <w:szCs w:val="16"/>
      </w:rPr>
      <w:t xml:space="preserve"> - </w:t>
    </w:r>
    <w:r w:rsidR="00315886" w:rsidRPr="00315886">
      <w:rPr>
        <w:sz w:val="16"/>
        <w:szCs w:val="16"/>
      </w:rPr>
      <w:t>Stálé kartografické reprezentace</w:t>
    </w:r>
  </w:p>
  <w:p w:rsidR="00C945A8" w:rsidRPr="00C945A8" w:rsidRDefault="00C945A8" w:rsidP="00C945A8">
    <w:pPr>
      <w:pStyle w:val="Zhlav"/>
      <w:tabs>
        <w:tab w:val="left" w:pos="8685"/>
      </w:tabs>
    </w:pPr>
    <w:r>
      <w:br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A66B1"/>
    <w:multiLevelType w:val="hybridMultilevel"/>
    <w:tmpl w:val="0AEEB09E"/>
    <w:lvl w:ilvl="0" w:tplc="850CA19A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A313C77"/>
    <w:multiLevelType w:val="hybridMultilevel"/>
    <w:tmpl w:val="C628698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B6424A9"/>
    <w:multiLevelType w:val="hybridMultilevel"/>
    <w:tmpl w:val="52783586"/>
    <w:lvl w:ilvl="0" w:tplc="850CA19A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CE6038B"/>
    <w:multiLevelType w:val="hybridMultilevel"/>
    <w:tmpl w:val="51664EFC"/>
    <w:lvl w:ilvl="0" w:tplc="B83ED3FE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AC36E91"/>
    <w:multiLevelType w:val="hybridMultilevel"/>
    <w:tmpl w:val="F7E6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CD14F9"/>
    <w:multiLevelType w:val="hybridMultilevel"/>
    <w:tmpl w:val="AFD03640"/>
    <w:lvl w:ilvl="0" w:tplc="850CA19A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9531DDC"/>
    <w:multiLevelType w:val="hybridMultilevel"/>
    <w:tmpl w:val="1A70C334"/>
    <w:lvl w:ilvl="0" w:tplc="48C28BF0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B490D41"/>
    <w:multiLevelType w:val="hybridMultilevel"/>
    <w:tmpl w:val="5928C09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51CA0BB7"/>
    <w:multiLevelType w:val="hybridMultilevel"/>
    <w:tmpl w:val="537AD6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65F245EF"/>
    <w:multiLevelType w:val="multilevel"/>
    <w:tmpl w:val="4DAC2F04"/>
    <w:lvl w:ilvl="0">
      <w:start w:val="1"/>
      <w:numFmt w:val="decimal"/>
      <w:lvlText w:val=" %1 "/>
      <w:lvlJc w:val="left"/>
      <w:pPr>
        <w:ind w:left="720" w:firstLine="360"/>
      </w:pPr>
    </w:lvl>
    <w:lvl w:ilvl="1">
      <w:start w:val="1"/>
      <w:numFmt w:val="decimal"/>
      <w:lvlText w:val=" %1.%2 "/>
      <w:lvlJc w:val="left"/>
      <w:pPr>
        <w:ind w:left="1080" w:firstLine="720"/>
      </w:pPr>
    </w:lvl>
    <w:lvl w:ilvl="2">
      <w:start w:val="1"/>
      <w:numFmt w:val="decimal"/>
      <w:lvlText w:val=" %1.%2.%3 "/>
      <w:lvlJc w:val="left"/>
      <w:pPr>
        <w:ind w:left="1440" w:firstLine="1080"/>
      </w:pPr>
    </w:lvl>
    <w:lvl w:ilvl="3">
      <w:start w:val="1"/>
      <w:numFmt w:val="decimal"/>
      <w:lvlText w:val=" %1.%2.%3.%4 "/>
      <w:lvlJc w:val="left"/>
      <w:pPr>
        <w:ind w:left="1800" w:firstLine="1440"/>
      </w:pPr>
    </w:lvl>
    <w:lvl w:ilvl="4">
      <w:start w:val="1"/>
      <w:numFmt w:val="decimal"/>
      <w:lvlText w:val=" %1.%2.%3.%4.%5 "/>
      <w:lvlJc w:val="left"/>
      <w:pPr>
        <w:ind w:left="2160" w:firstLine="1800"/>
      </w:pPr>
    </w:lvl>
    <w:lvl w:ilvl="5">
      <w:start w:val="1"/>
      <w:numFmt w:val="decimal"/>
      <w:lvlText w:val=" %1.%2.%3.%4.%5.%6 "/>
      <w:lvlJc w:val="left"/>
      <w:pPr>
        <w:ind w:left="2520" w:firstLine="2160"/>
      </w:pPr>
    </w:lvl>
    <w:lvl w:ilvl="6">
      <w:start w:val="1"/>
      <w:numFmt w:val="decimal"/>
      <w:lvlText w:val=" %1.%2.%3.%4.%5.%6.%7 "/>
      <w:lvlJc w:val="left"/>
      <w:pPr>
        <w:ind w:left="2880" w:firstLine="2520"/>
      </w:pPr>
    </w:lvl>
    <w:lvl w:ilvl="7">
      <w:start w:val="1"/>
      <w:numFmt w:val="decimal"/>
      <w:lvlText w:val=" %1.%2.%3.%4.%5.%6.%7.%8 "/>
      <w:lvlJc w:val="left"/>
      <w:pPr>
        <w:ind w:left="3240" w:firstLine="2880"/>
      </w:pPr>
    </w:lvl>
    <w:lvl w:ilvl="8">
      <w:start w:val="1"/>
      <w:numFmt w:val="decimal"/>
      <w:lvlText w:val=" %1.%2.%3.%4.%5.%6.%7.%8.%9 "/>
      <w:lvlJc w:val="left"/>
      <w:pPr>
        <w:ind w:left="3600" w:firstLine="3240"/>
      </w:pPr>
    </w:lvl>
  </w:abstractNum>
  <w:abstractNum w:abstractNumId="10">
    <w:nsid w:val="684915B5"/>
    <w:multiLevelType w:val="hybridMultilevel"/>
    <w:tmpl w:val="DFA453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1F526E0"/>
    <w:multiLevelType w:val="hybridMultilevel"/>
    <w:tmpl w:val="28B28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7"/>
  </w:num>
  <w:num w:numId="5">
    <w:abstractNumId w:val="11"/>
  </w:num>
  <w:num w:numId="6">
    <w:abstractNumId w:val="6"/>
  </w:num>
  <w:num w:numId="7">
    <w:abstractNumId w:val="10"/>
  </w:num>
  <w:num w:numId="8">
    <w:abstractNumId w:val="0"/>
  </w:num>
  <w:num w:numId="9">
    <w:abstractNumId w:val="5"/>
  </w:num>
  <w:num w:numId="10">
    <w:abstractNumId w:val="2"/>
  </w:num>
  <w:num w:numId="11">
    <w:abstractNumId w:val="1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F569A"/>
    <w:rsid w:val="00001D92"/>
    <w:rsid w:val="000074C7"/>
    <w:rsid w:val="00020EC7"/>
    <w:rsid w:val="000234E4"/>
    <w:rsid w:val="000421B6"/>
    <w:rsid w:val="00042B7C"/>
    <w:rsid w:val="00046955"/>
    <w:rsid w:val="00053AA5"/>
    <w:rsid w:val="00063472"/>
    <w:rsid w:val="000679AB"/>
    <w:rsid w:val="00070256"/>
    <w:rsid w:val="000766FE"/>
    <w:rsid w:val="00083BD1"/>
    <w:rsid w:val="000A0442"/>
    <w:rsid w:val="000A7D52"/>
    <w:rsid w:val="000D3FF5"/>
    <w:rsid w:val="000D6598"/>
    <w:rsid w:val="000E3875"/>
    <w:rsid w:val="000E3F65"/>
    <w:rsid w:val="00101706"/>
    <w:rsid w:val="00113280"/>
    <w:rsid w:val="001254F8"/>
    <w:rsid w:val="00163DC6"/>
    <w:rsid w:val="00170917"/>
    <w:rsid w:val="00170F2C"/>
    <w:rsid w:val="001726C0"/>
    <w:rsid w:val="00187657"/>
    <w:rsid w:val="00190B9C"/>
    <w:rsid w:val="00196505"/>
    <w:rsid w:val="001A2938"/>
    <w:rsid w:val="001A29B8"/>
    <w:rsid w:val="001A2FCC"/>
    <w:rsid w:val="001A5980"/>
    <w:rsid w:val="001A6140"/>
    <w:rsid w:val="001B09EF"/>
    <w:rsid w:val="001C3542"/>
    <w:rsid w:val="001E4049"/>
    <w:rsid w:val="001F754F"/>
    <w:rsid w:val="0022076D"/>
    <w:rsid w:val="002256FA"/>
    <w:rsid w:val="002315F1"/>
    <w:rsid w:val="002354E2"/>
    <w:rsid w:val="0024292F"/>
    <w:rsid w:val="0028202A"/>
    <w:rsid w:val="00282530"/>
    <w:rsid w:val="0028551B"/>
    <w:rsid w:val="00291D25"/>
    <w:rsid w:val="00294A3E"/>
    <w:rsid w:val="002A2071"/>
    <w:rsid w:val="002A5675"/>
    <w:rsid w:val="002B1248"/>
    <w:rsid w:val="002B71F8"/>
    <w:rsid w:val="002C0624"/>
    <w:rsid w:val="002C6130"/>
    <w:rsid w:val="002D0222"/>
    <w:rsid w:val="002E2971"/>
    <w:rsid w:val="002F179C"/>
    <w:rsid w:val="003009A5"/>
    <w:rsid w:val="00310F1B"/>
    <w:rsid w:val="00315886"/>
    <w:rsid w:val="00350492"/>
    <w:rsid w:val="003645FD"/>
    <w:rsid w:val="003870E7"/>
    <w:rsid w:val="003C6C97"/>
    <w:rsid w:val="003D670D"/>
    <w:rsid w:val="003D6B03"/>
    <w:rsid w:val="003E5A21"/>
    <w:rsid w:val="003E6D8A"/>
    <w:rsid w:val="0040418E"/>
    <w:rsid w:val="00405265"/>
    <w:rsid w:val="0042263E"/>
    <w:rsid w:val="00433231"/>
    <w:rsid w:val="00443669"/>
    <w:rsid w:val="00446D8E"/>
    <w:rsid w:val="0046482F"/>
    <w:rsid w:val="0046765C"/>
    <w:rsid w:val="00481BD3"/>
    <w:rsid w:val="00482A79"/>
    <w:rsid w:val="00485E28"/>
    <w:rsid w:val="00497673"/>
    <w:rsid w:val="004A060C"/>
    <w:rsid w:val="004A554F"/>
    <w:rsid w:val="004B1012"/>
    <w:rsid w:val="004B77FB"/>
    <w:rsid w:val="004C33E8"/>
    <w:rsid w:val="005159E0"/>
    <w:rsid w:val="005262D8"/>
    <w:rsid w:val="00536CEA"/>
    <w:rsid w:val="00544162"/>
    <w:rsid w:val="00553B7A"/>
    <w:rsid w:val="00555801"/>
    <w:rsid w:val="005612D3"/>
    <w:rsid w:val="0056587F"/>
    <w:rsid w:val="005775D3"/>
    <w:rsid w:val="00580C75"/>
    <w:rsid w:val="005A6C2F"/>
    <w:rsid w:val="005B00BC"/>
    <w:rsid w:val="005B09F7"/>
    <w:rsid w:val="005C3074"/>
    <w:rsid w:val="005C37BE"/>
    <w:rsid w:val="005F37E5"/>
    <w:rsid w:val="005F569A"/>
    <w:rsid w:val="0060085C"/>
    <w:rsid w:val="00637193"/>
    <w:rsid w:val="006631B6"/>
    <w:rsid w:val="00665E23"/>
    <w:rsid w:val="00677CFE"/>
    <w:rsid w:val="00685EC7"/>
    <w:rsid w:val="006A321A"/>
    <w:rsid w:val="006B11AE"/>
    <w:rsid w:val="006B4044"/>
    <w:rsid w:val="006F2057"/>
    <w:rsid w:val="0071065D"/>
    <w:rsid w:val="0071228F"/>
    <w:rsid w:val="007261BC"/>
    <w:rsid w:val="007316E6"/>
    <w:rsid w:val="00755528"/>
    <w:rsid w:val="00755C5F"/>
    <w:rsid w:val="00773945"/>
    <w:rsid w:val="007811DE"/>
    <w:rsid w:val="00794D1F"/>
    <w:rsid w:val="007971C7"/>
    <w:rsid w:val="007C5DB7"/>
    <w:rsid w:val="007D50D3"/>
    <w:rsid w:val="007E6286"/>
    <w:rsid w:val="0080023E"/>
    <w:rsid w:val="0081613D"/>
    <w:rsid w:val="00834772"/>
    <w:rsid w:val="008413C5"/>
    <w:rsid w:val="00852D1E"/>
    <w:rsid w:val="00870B53"/>
    <w:rsid w:val="00871677"/>
    <w:rsid w:val="00887869"/>
    <w:rsid w:val="008A42E8"/>
    <w:rsid w:val="008C4C68"/>
    <w:rsid w:val="008C5212"/>
    <w:rsid w:val="008C7B4C"/>
    <w:rsid w:val="008D4302"/>
    <w:rsid w:val="008F57BC"/>
    <w:rsid w:val="00925FC0"/>
    <w:rsid w:val="00935BED"/>
    <w:rsid w:val="009461F9"/>
    <w:rsid w:val="00957AB1"/>
    <w:rsid w:val="00961093"/>
    <w:rsid w:val="00961CC3"/>
    <w:rsid w:val="0096558A"/>
    <w:rsid w:val="00975B0B"/>
    <w:rsid w:val="009949EC"/>
    <w:rsid w:val="00997487"/>
    <w:rsid w:val="009B4595"/>
    <w:rsid w:val="009D29E0"/>
    <w:rsid w:val="009D5C78"/>
    <w:rsid w:val="009F6643"/>
    <w:rsid w:val="00A065C1"/>
    <w:rsid w:val="00A16150"/>
    <w:rsid w:val="00A174DE"/>
    <w:rsid w:val="00A213CB"/>
    <w:rsid w:val="00A26E98"/>
    <w:rsid w:val="00A42AB4"/>
    <w:rsid w:val="00A60267"/>
    <w:rsid w:val="00A70D77"/>
    <w:rsid w:val="00A86FAB"/>
    <w:rsid w:val="00A963EC"/>
    <w:rsid w:val="00AB2BD7"/>
    <w:rsid w:val="00AB4B46"/>
    <w:rsid w:val="00AC2780"/>
    <w:rsid w:val="00AC2A7A"/>
    <w:rsid w:val="00AC3CDB"/>
    <w:rsid w:val="00AE7F43"/>
    <w:rsid w:val="00B11EFC"/>
    <w:rsid w:val="00B15B5D"/>
    <w:rsid w:val="00B16CCC"/>
    <w:rsid w:val="00B20BA0"/>
    <w:rsid w:val="00B42264"/>
    <w:rsid w:val="00B42972"/>
    <w:rsid w:val="00B46047"/>
    <w:rsid w:val="00B50E7E"/>
    <w:rsid w:val="00B51766"/>
    <w:rsid w:val="00B620A3"/>
    <w:rsid w:val="00B74974"/>
    <w:rsid w:val="00B8748A"/>
    <w:rsid w:val="00B90661"/>
    <w:rsid w:val="00BA0098"/>
    <w:rsid w:val="00BA5332"/>
    <w:rsid w:val="00BC0A9B"/>
    <w:rsid w:val="00BD17CD"/>
    <w:rsid w:val="00BE61C9"/>
    <w:rsid w:val="00C06C40"/>
    <w:rsid w:val="00C11625"/>
    <w:rsid w:val="00C1189C"/>
    <w:rsid w:val="00C16440"/>
    <w:rsid w:val="00C22D86"/>
    <w:rsid w:val="00C24E07"/>
    <w:rsid w:val="00C30E38"/>
    <w:rsid w:val="00C400AC"/>
    <w:rsid w:val="00C45129"/>
    <w:rsid w:val="00C56F06"/>
    <w:rsid w:val="00C77C84"/>
    <w:rsid w:val="00C838EF"/>
    <w:rsid w:val="00C84E2F"/>
    <w:rsid w:val="00C945A8"/>
    <w:rsid w:val="00C97EA4"/>
    <w:rsid w:val="00CA3CE7"/>
    <w:rsid w:val="00CB6D48"/>
    <w:rsid w:val="00CC1527"/>
    <w:rsid w:val="00CC3AED"/>
    <w:rsid w:val="00CC6037"/>
    <w:rsid w:val="00CD5023"/>
    <w:rsid w:val="00CE087D"/>
    <w:rsid w:val="00CE5505"/>
    <w:rsid w:val="00CF31B4"/>
    <w:rsid w:val="00CF634A"/>
    <w:rsid w:val="00D02AA3"/>
    <w:rsid w:val="00D0388B"/>
    <w:rsid w:val="00D05565"/>
    <w:rsid w:val="00D27C50"/>
    <w:rsid w:val="00D3284F"/>
    <w:rsid w:val="00D32EEA"/>
    <w:rsid w:val="00D33C11"/>
    <w:rsid w:val="00D35740"/>
    <w:rsid w:val="00D3590E"/>
    <w:rsid w:val="00D36CE2"/>
    <w:rsid w:val="00D4047C"/>
    <w:rsid w:val="00D44959"/>
    <w:rsid w:val="00D51CC1"/>
    <w:rsid w:val="00D531D3"/>
    <w:rsid w:val="00D54D20"/>
    <w:rsid w:val="00D614C8"/>
    <w:rsid w:val="00D7055F"/>
    <w:rsid w:val="00D75266"/>
    <w:rsid w:val="00D91DA8"/>
    <w:rsid w:val="00DA6D05"/>
    <w:rsid w:val="00DC4AB0"/>
    <w:rsid w:val="00DC5A75"/>
    <w:rsid w:val="00DE6DD5"/>
    <w:rsid w:val="00E01625"/>
    <w:rsid w:val="00E2406C"/>
    <w:rsid w:val="00E25958"/>
    <w:rsid w:val="00E40ABD"/>
    <w:rsid w:val="00E425F5"/>
    <w:rsid w:val="00E44322"/>
    <w:rsid w:val="00E56BCA"/>
    <w:rsid w:val="00E75B62"/>
    <w:rsid w:val="00E82F37"/>
    <w:rsid w:val="00E92208"/>
    <w:rsid w:val="00EA210B"/>
    <w:rsid w:val="00EA524D"/>
    <w:rsid w:val="00EA550A"/>
    <w:rsid w:val="00EA72EF"/>
    <w:rsid w:val="00ED37D9"/>
    <w:rsid w:val="00ED4F22"/>
    <w:rsid w:val="00ED789D"/>
    <w:rsid w:val="00EE3895"/>
    <w:rsid w:val="00EE3DF7"/>
    <w:rsid w:val="00F0024C"/>
    <w:rsid w:val="00F0446F"/>
    <w:rsid w:val="00F10A1F"/>
    <w:rsid w:val="00F22DB6"/>
    <w:rsid w:val="00F405DB"/>
    <w:rsid w:val="00F466C9"/>
    <w:rsid w:val="00F52DA2"/>
    <w:rsid w:val="00F83530"/>
    <w:rsid w:val="00F83767"/>
    <w:rsid w:val="00FA3D9D"/>
    <w:rsid w:val="00FA4667"/>
    <w:rsid w:val="00FB1A31"/>
    <w:rsid w:val="00FB458F"/>
    <w:rsid w:val="00FC0FA2"/>
    <w:rsid w:val="00FD5757"/>
    <w:rsid w:val="00FE2B08"/>
    <w:rsid w:val="00FE6509"/>
    <w:rsid w:val="00FE6E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30E38"/>
    <w:pPr>
      <w:spacing w:before="120" w:after="120" w:line="240" w:lineRule="auto"/>
    </w:pPr>
    <w:rPr>
      <w:rFonts w:ascii="Verdana" w:eastAsia="Times New Roman" w:hAnsi="Verdana" w:cs="Times New Roman"/>
      <w:color w:val="575757"/>
      <w:sz w:val="20"/>
      <w:szCs w:val="24"/>
      <w:lang w:val="cs-CZ" w:eastAsia="cs-CZ"/>
    </w:rPr>
  </w:style>
  <w:style w:type="paragraph" w:styleId="Nadpis1">
    <w:name w:val="heading 1"/>
    <w:basedOn w:val="Normln"/>
    <w:next w:val="Normln"/>
    <w:link w:val="Nadpis1Char"/>
    <w:qFormat/>
    <w:rsid w:val="005F569A"/>
    <w:pPr>
      <w:keepNext/>
      <w:pageBreakBefore/>
      <w:pBdr>
        <w:bottom w:val="single" w:sz="4" w:space="1" w:color="B6BCC6"/>
      </w:pBdr>
      <w:spacing w:before="140" w:after="80"/>
      <w:outlineLvl w:val="0"/>
    </w:pPr>
    <w:rPr>
      <w:rFonts w:ascii="Arial" w:hAnsi="Arial" w:cs="Arial"/>
      <w:b/>
      <w:bCs/>
      <w:color w:val="1370AB"/>
      <w:kern w:val="32"/>
      <w:sz w:val="28"/>
      <w:szCs w:val="32"/>
    </w:rPr>
  </w:style>
  <w:style w:type="paragraph" w:styleId="Nadpis2">
    <w:name w:val="heading 2"/>
    <w:basedOn w:val="Normln"/>
    <w:next w:val="Normln"/>
    <w:link w:val="Nadpis2Char"/>
    <w:unhideWhenUsed/>
    <w:qFormat/>
    <w:rsid w:val="005F569A"/>
    <w:pPr>
      <w:keepNext/>
      <w:spacing w:before="240" w:after="60"/>
      <w:outlineLvl w:val="1"/>
    </w:pPr>
    <w:rPr>
      <w:rFonts w:ascii="Arial" w:hAnsi="Arial" w:cs="Arial"/>
      <w:b/>
      <w:bCs/>
      <w:iCs/>
      <w:color w:val="1370AB"/>
      <w:sz w:val="22"/>
      <w:szCs w:val="28"/>
    </w:rPr>
  </w:style>
  <w:style w:type="paragraph" w:styleId="Nadpis3">
    <w:name w:val="heading 3"/>
    <w:basedOn w:val="Normln"/>
    <w:next w:val="Normln"/>
    <w:link w:val="Nadpis3Char"/>
    <w:qFormat/>
    <w:rsid w:val="005F569A"/>
    <w:pPr>
      <w:keepNext/>
      <w:spacing w:before="240" w:after="60"/>
      <w:outlineLvl w:val="2"/>
    </w:pPr>
    <w:rPr>
      <w:rFonts w:ascii="Arial" w:hAnsi="Arial" w:cs="Arial"/>
      <w:b/>
      <w:bCs/>
      <w:szCs w:val="26"/>
    </w:rPr>
  </w:style>
  <w:style w:type="paragraph" w:styleId="Nadpis4">
    <w:name w:val="heading 4"/>
    <w:basedOn w:val="Normln"/>
    <w:next w:val="Normln"/>
    <w:link w:val="Nadpis4Char"/>
    <w:unhideWhenUsed/>
    <w:qFormat/>
    <w:rsid w:val="005F569A"/>
    <w:pPr>
      <w:keepNext/>
      <w:spacing w:before="240" w:after="60"/>
      <w:outlineLvl w:val="3"/>
    </w:pPr>
    <w:rPr>
      <w:rFonts w:ascii="Arial" w:hAnsi="Arial"/>
      <w:bCs/>
      <w:szCs w:val="28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LO-normal">
    <w:name w:val="LO-normal"/>
    <w:qFormat/>
    <w:rsid w:val="005F569A"/>
    <w:pPr>
      <w:keepNext/>
      <w:spacing w:after="0" w:line="240" w:lineRule="auto"/>
    </w:pPr>
    <w:rPr>
      <w:rFonts w:ascii="Liberation Serif" w:eastAsia="Liberation Serif" w:hAnsi="Liberation Serif" w:cs="Liberation Serif"/>
      <w:color w:val="000000"/>
      <w:sz w:val="24"/>
      <w:szCs w:val="24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5F569A"/>
    <w:pPr>
      <w:tabs>
        <w:tab w:val="center" w:pos="4680"/>
        <w:tab w:val="right" w:pos="9360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5F569A"/>
  </w:style>
  <w:style w:type="paragraph" w:styleId="Zpat">
    <w:name w:val="footer"/>
    <w:basedOn w:val="Normln"/>
    <w:link w:val="ZpatChar"/>
    <w:uiPriority w:val="99"/>
    <w:unhideWhenUsed/>
    <w:rsid w:val="005F569A"/>
    <w:pPr>
      <w:tabs>
        <w:tab w:val="center" w:pos="4680"/>
        <w:tab w:val="right" w:pos="9360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5F569A"/>
  </w:style>
  <w:style w:type="character" w:customStyle="1" w:styleId="Nadpis1Char">
    <w:name w:val="Nadpis 1 Char"/>
    <w:basedOn w:val="Standardnpsmoodstavce"/>
    <w:link w:val="Nadpis1"/>
    <w:rsid w:val="005F569A"/>
    <w:rPr>
      <w:rFonts w:ascii="Arial" w:eastAsia="Times New Roman" w:hAnsi="Arial" w:cs="Arial"/>
      <w:b/>
      <w:bCs/>
      <w:color w:val="1370AB"/>
      <w:kern w:val="32"/>
      <w:sz w:val="28"/>
      <w:szCs w:val="32"/>
      <w:lang w:val="cs-CZ" w:eastAsia="cs-CZ"/>
    </w:rPr>
  </w:style>
  <w:style w:type="character" w:customStyle="1" w:styleId="Nadpis3Char">
    <w:name w:val="Nadpis 3 Char"/>
    <w:basedOn w:val="Standardnpsmoodstavce"/>
    <w:link w:val="Nadpis3"/>
    <w:rsid w:val="005F569A"/>
    <w:rPr>
      <w:rFonts w:ascii="Arial" w:eastAsia="Times New Roman" w:hAnsi="Arial" w:cs="Arial"/>
      <w:b/>
      <w:bCs/>
      <w:color w:val="575757"/>
      <w:sz w:val="20"/>
      <w:szCs w:val="26"/>
      <w:lang w:val="cs-CZ" w:eastAsia="cs-CZ"/>
    </w:rPr>
  </w:style>
  <w:style w:type="character" w:customStyle="1" w:styleId="Nadpis2Char">
    <w:name w:val="Nadpis 2 Char"/>
    <w:basedOn w:val="Standardnpsmoodstavce"/>
    <w:link w:val="Nadpis2"/>
    <w:rsid w:val="005F569A"/>
    <w:rPr>
      <w:rFonts w:ascii="Arial" w:eastAsia="Times New Roman" w:hAnsi="Arial" w:cs="Arial"/>
      <w:b/>
      <w:bCs/>
      <w:iCs/>
      <w:color w:val="1370AB"/>
      <w:szCs w:val="28"/>
      <w:lang w:val="cs-CZ" w:eastAsia="cs-CZ"/>
    </w:rPr>
  </w:style>
  <w:style w:type="character" w:customStyle="1" w:styleId="Nadpis4Char">
    <w:name w:val="Nadpis 4 Char"/>
    <w:basedOn w:val="Standardnpsmoodstavce"/>
    <w:link w:val="Nadpis4"/>
    <w:rsid w:val="005F569A"/>
    <w:rPr>
      <w:rFonts w:ascii="Arial" w:eastAsia="Times New Roman" w:hAnsi="Arial" w:cs="Times New Roman"/>
      <w:bCs/>
      <w:color w:val="575757"/>
      <w:sz w:val="20"/>
      <w:szCs w:val="28"/>
      <w:u w:val="single"/>
      <w:lang w:val="cs-CZ" w:eastAsia="cs-CZ"/>
    </w:rPr>
  </w:style>
  <w:style w:type="table" w:styleId="Mkatabulky">
    <w:name w:val="Table Grid"/>
    <w:basedOn w:val="Normlntabulka"/>
    <w:uiPriority w:val="59"/>
    <w:rsid w:val="00852D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Odkaznakoment">
    <w:name w:val="annotation reference"/>
    <w:basedOn w:val="Standardnpsmoodstavce"/>
    <w:uiPriority w:val="99"/>
    <w:semiHidden/>
    <w:unhideWhenUsed/>
    <w:rsid w:val="00BA009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A0098"/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0098"/>
    <w:rPr>
      <w:rFonts w:ascii="Verdana" w:eastAsia="Times New Roman" w:hAnsi="Verdana" w:cs="Times New Roman"/>
      <w:color w:val="575757"/>
      <w:sz w:val="20"/>
      <w:szCs w:val="20"/>
      <w:lang w:val="cs-CZ"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A009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0098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A0098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0098"/>
    <w:rPr>
      <w:rFonts w:ascii="Tahoma" w:eastAsia="Times New Roman" w:hAnsi="Tahoma" w:cs="Tahoma"/>
      <w:color w:val="575757"/>
      <w:sz w:val="16"/>
      <w:szCs w:val="16"/>
      <w:lang w:val="cs-CZ" w:eastAsia="cs-CZ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CE087D"/>
    <w:pPr>
      <w:spacing w:before="0" w:after="0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E087D"/>
    <w:rPr>
      <w:rFonts w:ascii="Verdana" w:eastAsia="Times New Roman" w:hAnsi="Verdana" w:cs="Times New Roman"/>
      <w:color w:val="575757"/>
      <w:sz w:val="20"/>
      <w:szCs w:val="20"/>
      <w:lang w:val="cs-CZ"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CE087D"/>
    <w:rPr>
      <w:vertAlign w:val="superscript"/>
    </w:rPr>
  </w:style>
  <w:style w:type="paragraph" w:styleId="Odstavecseseznamem">
    <w:name w:val="List Paragraph"/>
    <w:basedOn w:val="Normln"/>
    <w:uiPriority w:val="34"/>
    <w:qFormat/>
    <w:rsid w:val="00887869"/>
    <w:pPr>
      <w:ind w:left="720"/>
      <w:contextualSpacing/>
    </w:pPr>
  </w:style>
  <w:style w:type="character" w:styleId="Zstupntext">
    <w:name w:val="Placeholder Text"/>
    <w:basedOn w:val="Standardnpsmoodstavce"/>
    <w:uiPriority w:val="99"/>
    <w:semiHidden/>
    <w:rsid w:val="00EA524D"/>
    <w:rPr>
      <w:color w:val="808080"/>
    </w:rPr>
  </w:style>
  <w:style w:type="paragraph" w:styleId="Titulek">
    <w:name w:val="caption"/>
    <w:basedOn w:val="Normln"/>
    <w:next w:val="Normln"/>
    <w:uiPriority w:val="35"/>
    <w:unhideWhenUsed/>
    <w:qFormat/>
    <w:rsid w:val="00ED789D"/>
    <w:pPr>
      <w:spacing w:before="0" w:after="200"/>
    </w:pPr>
    <w:rPr>
      <w:b/>
      <w:bCs/>
      <w:color w:val="4F81BD" w:themeColor="accent1"/>
      <w:szCs w:val="18"/>
    </w:rPr>
  </w:style>
  <w:style w:type="paragraph" w:styleId="Bezmezer">
    <w:name w:val="No Spacing"/>
    <w:basedOn w:val="Normln"/>
    <w:uiPriority w:val="1"/>
    <w:qFormat/>
    <w:rsid w:val="00C945A8"/>
    <w:pPr>
      <w:spacing w:before="0" w:after="0"/>
      <w:jc w:val="center"/>
    </w:pPr>
    <w:rPr>
      <w:rFonts w:ascii="Calibri" w:eastAsia="Calibri" w:hAnsi="Calibri" w:cs="Calibri"/>
      <w:szCs w:val="20"/>
    </w:rPr>
  </w:style>
  <w:style w:type="paragraph" w:customStyle="1" w:styleId="normal">
    <w:name w:val="normal"/>
    <w:rsid w:val="00C945A8"/>
    <w:rPr>
      <w:rFonts w:ascii="Calibri" w:eastAsia="Calibri" w:hAnsi="Calibri" w:cs="Calibri"/>
      <w:color w:val="000000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F8D138-F32F-4392-BD27-5A9EB33D19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10</Pages>
  <Words>1916</Words>
  <Characters>10922</Characters>
  <Application>Microsoft Office Word</Application>
  <DocSecurity>0</DocSecurity>
  <Lines>91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ZU Sedlcany</Company>
  <LinksUpToDate>false</LinksUpToDate>
  <CharactersWithSpaces>12813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Augustyn</dc:creator>
  <cp:lastModifiedBy>Radek Augustyn</cp:lastModifiedBy>
  <cp:revision>4</cp:revision>
  <dcterms:created xsi:type="dcterms:W3CDTF">2016-09-01T14:59:00Z</dcterms:created>
  <dcterms:modified xsi:type="dcterms:W3CDTF">2016-09-22T08:17:00Z</dcterms:modified>
</cp:coreProperties>
</file>